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Risk register for  Social Media Marketing Campaign Project</w:t>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Name: Naz University Social Media Marketing Campaign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13/08/2024</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ID: 1  </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Description: Inadequate Audience Engagement  </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High  </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Likelihood: Moderate  </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Mitigation: Conduct thorough market research to understand target audience preferences, and create tailored content that resonates with them. Use A/B testing to optimize posts and adjust strategy based on performance metrics.</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ID: 2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Description: Negative Feedback or Public Relations Crisis  </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High  </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Likelihood: Low  </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Mitigation: Develop a crisis communication plan, monitor social media channels closely for negative comments, and respond promptly and professionally. Engage a PR expert to handle severe cases and mitigate reputational damage.</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ID: 3  </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Description: Budget Overruns  </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Moderate  </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Likelihood: Moderate  </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Mitigation: Create a detailed budget plan with clear cost estimates for each campaign activity. Monitor spending closely and adjust plans as needed to stay within budget. Consider allocating a contingency fund for unexpected expenses.</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ID: 4  </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Description: Low Return on Investment (ROI)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Moderate  </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Likelihood: Moderate  </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Mitigation: Set clear, measurable goals for the campaign and track key performance indicators (KPIs) regularly. Adjust campaign strategies based on performance data and focus on high-impact, low-cost tactics to maximize ROI.</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ID: 5  </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Description: Platform Algorithm Changes  </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Moderate  </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Likelihood: High  </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Mitigation: Stay updated on social media platform algorithm changes by following relevant industry news and insights. Diversify content distribution across multiple platforms to reduce dependency on any single platform's algorithm.</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ID: 6  </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Description: Compliance and Legal Issues  </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High  </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Likelihood: Low  </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Mitigation: Ensure all campaign content adheres to legal and regulatory requirements, including copyright laws, privacy policies, and advertising standards. Consult legal experts if necessary, and review terms of service for each social media platform.</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ID: 7  </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Description: Insufficient Resources (e.g., staff, tools)  </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Moderate  </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Likelihood: Moderate  </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Mitigation: Assess resource needs during the planning phase and allocate sufficient personnel and tools for campaign execution. Consider outsourcing specific tasks to external agencies or freelancers if internal resources are limited.</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ID: 8  </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Description: Inconsistent Branding or Messaging  </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Moderate  </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Likelihood: Low  </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Mitigation: Develop a comprehensive brand guide that outlines tone, messaging, and visual identity. Ensure all team members and collaborators are trained on brand guidelines to maintain consistency across all campaign materials.</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ID: 9  </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Description: Insufficient Budget Allocation  </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High  </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Likelihood: Moderate  </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Mitigation: Reassess budget requirements at the planning stage to ensure all critical activities are adequately funded. Consider prioritizing essential campaign elements and seek additional funding if necessary.</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ID: 10  </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Description: Inadequate Target Audience Research  </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High  </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Likelihood: Moderate  </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Mitigation: Invest in comprehensive market research to accurately define the target audience. Use surveys, focus groups, and data analytics to gather insights, ensuring the campaign is tailored to the audience's needs and preferences.</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ID: 11  </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Description: Negative Social Media Comments  </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Moderate  </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Likelihood: High  </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Mitigation: Implement a social media monitoring system to promptly identify and address negative comments. Prepare standard response templates and escalate serious issues to a PR team for resolution.</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