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</w:pPr>
      <w:r>
        <w:rPr>
          <w:b/>
          <w:sz w:val="36"/>
        </w:rPr>
        <w:t>Incident Lifecycle Automation in ServiceNow</w:t>
      </w:r>
    </w:p>
    <w:p>
      <w:pPr>
        <w:jc w:val="center"/>
      </w:pPr>
      <w:r>
        <w:rPr>
          <w:b/>
          <w:sz w:val="24"/>
        </w:rPr>
        <w:t>Project Documentation format</w:t>
      </w:r>
    </w:p>
    <w:p>
      <w:r>
        <w:rPr>
          <w:b/>
          <w:sz w:val="22"/>
        </w:rPr>
        <w:t>1. Introduction</w:t>
      </w:r>
    </w:p>
    <w:p>
      <w:pPr>
        <w:spacing w:after="20"/>
        <w:ind w:left="259"/>
      </w:pPr>
      <w:r>
        <w:rPr>
          <w:sz w:val="18"/>
        </w:rPr>
        <w:t>• Project Title: Incident Lifecycle Automation in ServiceNow</w:t>
      </w:r>
    </w:p>
    <w:p>
      <w:pPr>
        <w:spacing w:after="20"/>
        <w:ind w:left="259"/>
      </w:pPr>
      <w:r>
        <w:rPr>
          <w:sz w:val="18"/>
        </w:rPr>
        <w:t>• Name: V.Maheswari</w:t>
      </w:r>
      <w:bookmarkStart w:id="0" w:name="_GoBack"/>
      <w:bookmarkEnd w:id="0"/>
    </w:p>
    <w:p>
      <w:r>
        <w:rPr>
          <w:b/>
          <w:sz w:val="22"/>
        </w:rPr>
        <w:t>2. Project Overview</w:t>
      </w:r>
    </w:p>
    <w:p>
      <w:pPr>
        <w:spacing w:after="20"/>
        <w:ind w:left="259"/>
      </w:pPr>
      <w:r>
        <w:rPr>
          <w:sz w:val="18"/>
        </w:rPr>
        <w:t>• Purpose: Automate and standardize the Incident Management lifecycle using ServiceNow’s Incident module.</w:t>
      </w:r>
    </w:p>
    <w:p>
      <w:pPr>
        <w:spacing w:after="20"/>
        <w:ind w:left="259"/>
      </w:pPr>
      <w:r>
        <w:rPr>
          <w:sz w:val="18"/>
        </w:rPr>
        <w:t>• Features: Incident creation and classification; Knowledge Management integration; reassignment to appropriate support groups; Level 2 investigation and resolution; emergency change requests from incidents; child incident creation for recurring issues; knowledge article generation from resolved incidents; improved SLA compliance and service visibility.</w:t>
      </w:r>
    </w:p>
    <w:p>
      <w:r>
        <w:rPr>
          <w:b/>
          <w:sz w:val="22"/>
        </w:rPr>
        <w:t>3. Architecture</w:t>
      </w:r>
    </w:p>
    <w:p>
      <w:pPr>
        <w:spacing w:after="20"/>
        <w:ind w:left="259"/>
      </w:pPr>
      <w:r>
        <w:rPr>
          <w:sz w:val="18"/>
        </w:rPr>
        <w:t>• Platform: ServiceNow Incident Management module.</w:t>
      </w:r>
    </w:p>
    <w:p>
      <w:pPr>
        <w:spacing w:after="20"/>
        <w:ind w:left="259"/>
      </w:pPr>
      <w:r>
        <w:rPr>
          <w:sz w:val="18"/>
        </w:rPr>
        <w:t>• Incident Lifecycle: Incidents are created and classified by Service Desk agents, routed to appropriate support groups, investigated and resolved by Level 2 technicians, and connected to related changes or child incidents when required.</w:t>
      </w:r>
    </w:p>
    <w:p>
      <w:pPr>
        <w:spacing w:after="20"/>
        <w:ind w:left="259"/>
      </w:pPr>
      <w:r>
        <w:rPr>
          <w:sz w:val="18"/>
        </w:rPr>
        <w:t>• Knowledge and Change Integration: Knowledge Management supports faster resolution and resolved incidents can contribute to knowledge articles. Emergency change requests can be created directly from incidents.</w:t>
      </w:r>
    </w:p>
    <w:p>
      <w:r>
        <w:rPr>
          <w:b/>
          <w:sz w:val="22"/>
        </w:rPr>
        <w:t>4. Setup Instructions</w:t>
      </w:r>
    </w:p>
    <w:p>
      <w:pPr>
        <w:spacing w:after="20"/>
        <w:ind w:left="259"/>
      </w:pPr>
      <w:r>
        <w:rPr>
          <w:sz w:val="18"/>
        </w:rPr>
        <w:t>• Prerequisites: Access to a ServiceNow instance with the required Incident Management, Knowledge Management, and Change Management capabilities.</w:t>
      </w:r>
    </w:p>
    <w:p>
      <w:pPr>
        <w:spacing w:after="20"/>
        <w:ind w:left="259"/>
      </w:pPr>
      <w:r>
        <w:rPr>
          <w:sz w:val="18"/>
        </w:rPr>
        <w:t>• Configuration: Configure incident classification, assignment groups, lifecycle states, SLA rules, knowledge integration, emergency change creation, child incident handling, and resolution-to-knowledge processes.</w:t>
      </w:r>
    </w:p>
    <w:p>
      <w:r>
        <w:rPr>
          <w:b/>
          <w:sz w:val="22"/>
        </w:rPr>
        <w:t>5. Folder Structure</w:t>
      </w:r>
    </w:p>
    <w:p>
      <w:pPr>
        <w:spacing w:after="20"/>
        <w:ind w:left="259"/>
      </w:pPr>
      <w:r>
        <w:rPr>
          <w:sz w:val="18"/>
        </w:rPr>
        <w:t>• ServiceNow Application Areas: Incident Management, Knowledge Management, Change Management, Assignment Groups, SLA Management, and related configuration.</w:t>
      </w:r>
    </w:p>
    <w:p>
      <w:r>
        <w:rPr>
          <w:b/>
          <w:sz w:val="22"/>
        </w:rPr>
        <w:t>6. Running the Application</w:t>
      </w:r>
    </w:p>
    <w:p>
      <w:pPr>
        <w:spacing w:after="20"/>
        <w:ind w:left="259"/>
      </w:pPr>
      <w:r>
        <w:rPr>
          <w:sz w:val="18"/>
        </w:rPr>
        <w:t>• Access the ServiceNow instance and open the Incident module. Service Desk agents create and classify incidents; support groups receive assigned incidents; Level 2 technicians investigate and resolve them; related change requests and child incidents are created when required.</w:t>
      </w:r>
    </w:p>
    <w:p>
      <w:r>
        <w:rPr>
          <w:b/>
          <w:sz w:val="22"/>
        </w:rPr>
        <w:t>7. API Documentation</w:t>
      </w:r>
    </w:p>
    <w:p>
      <w:pPr>
        <w:spacing w:after="20"/>
        <w:ind w:left="259"/>
      </w:pPr>
      <w:r>
        <w:rPr>
          <w:sz w:val="18"/>
        </w:rPr>
        <w:t>• Not specified in the supplied project content. If integrations or APIs are implemented, document the exposed endpoints, request methods, parameters, and example responses here.</w:t>
      </w:r>
    </w:p>
    <w:p/>
    <w:p>
      <w:r>
        <w:rPr>
          <w:b/>
          <w:sz w:val="22"/>
        </w:rPr>
        <w:t>8. Authentication</w:t>
      </w:r>
    </w:p>
    <w:p>
      <w:pPr>
        <w:spacing w:after="20"/>
        <w:ind w:left="259"/>
      </w:pPr>
      <w:r>
        <w:rPr>
          <w:sz w:val="18"/>
        </w:rPr>
        <w:t>• Authentication and authorization are handled through ServiceNow user access and role-based permissions. The supplied project description does not specify particular authentication tokens or session mechanisms.</w:t>
      </w:r>
    </w:p>
    <w:p>
      <w:r>
        <w:rPr>
          <w:b/>
          <w:sz w:val="22"/>
        </w:rPr>
        <w:t>9. User Interface</w:t>
      </w:r>
    </w:p>
    <w:p>
      <w:pPr>
        <w:spacing w:after="20"/>
        <w:ind w:left="259"/>
      </w:pPr>
      <w:r>
        <w:rPr>
          <w:sz w:val="18"/>
        </w:rPr>
        <w:t>• Provide screenshots of the ServiceNow Incident workspace, incident creation and classification, assignment to support groups, Level 2 investigation, SLA information, related changes, child incidents, and knowledge article generation.</w:t>
      </w:r>
    </w:p>
    <w:p>
      <w:r>
        <w:rPr>
          <w:b/>
          <w:sz w:val="22"/>
        </w:rPr>
        <w:t>10. Testing</w:t>
      </w:r>
    </w:p>
    <w:p>
      <w:pPr>
        <w:spacing w:after="20"/>
        <w:ind w:left="259"/>
      </w:pPr>
      <w:r>
        <w:rPr>
          <w:sz w:val="18"/>
        </w:rPr>
        <w:t>• Test incident creation and classification, assignment and reassignment, Level 2 investigation and resolution, SLA behavior, emergency change creation, child incident creation, and generation of knowledge articles from resolved incidents.</w:t>
      </w:r>
    </w:p>
    <w:p>
      <w:r>
        <w:rPr>
          <w:b/>
          <w:sz w:val="22"/>
        </w:rPr>
        <w:t>11. Screenshots or Demo</w:t>
      </w:r>
    </w:p>
    <w:p>
      <w:pPr>
        <w:spacing w:after="20"/>
        <w:ind w:left="259"/>
      </w:pPr>
      <w:r>
        <w:rPr>
          <w:sz w:val="18"/>
        </w:rPr>
        <w:t>• Provide screenshots or a link to a ServiceNow demonstration showing the complete incident lifecycle from creation through resolution, including related knowledge, change, child-incident, and SLA views.</w:t>
      </w:r>
    </w:p>
    <w:p>
      <w:r>
        <w:rPr>
          <w:b/>
          <w:sz w:val="22"/>
        </w:rPr>
        <w:t>12. Known Issues</w:t>
      </w:r>
    </w:p>
    <w:p>
      <w:pPr>
        <w:spacing w:after="20"/>
        <w:ind w:left="259"/>
      </w:pPr>
      <w:r>
        <w:rPr>
          <w:sz w:val="18"/>
        </w:rPr>
        <w:t>• Any known configuration gaps, SLA exceptions, assignment issues, integration limitations, or workflow defects should be documented here. No specific known issues are provided in the supplied project content.</w:t>
      </w:r>
    </w:p>
    <w:p>
      <w:r>
        <w:rPr>
          <w:b/>
          <w:sz w:val="22"/>
        </w:rPr>
        <w:t>13. Future Enhancements</w:t>
      </w:r>
    </w:p>
    <w:p>
      <w:pPr>
        <w:spacing w:after="20"/>
        <w:ind w:left="259"/>
      </w:pPr>
      <w:r>
        <w:rPr>
          <w:sz w:val="18"/>
        </w:rPr>
        <w:t>• Potential enhancements include broader automation of incident routing and escalation, richer SLA and service-visibility dashboards, improved recurring-incident correlation, and expanded knowledge reuse from resolved incidents.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ServiceNow Project Screenshots</w:t>
      </w:r>
    </w:p>
    <w:p>
      <w:pPr>
        <w:jc w:val="center"/>
      </w:pPr>
      <w:r>
        <w:rPr>
          <w:sz w:val="18"/>
        </w:rPr>
        <w:t>Screenshots extracted from the supplied ServiceNow project images PDF</w:t>
      </w:r>
    </w:p>
    <w:p>
      <w:r>
        <w:br w:type="page"/>
      </w:r>
    </w:p>
    <w:p>
      <w:pPr>
        <w:jc w:val="center"/>
      </w:pPr>
      <w:r>
        <w:rPr>
          <w:b/>
          <w:sz w:val="20"/>
        </w:rPr>
        <w:t>ServiceNow Project Screenshot – 1</w:t>
      </w:r>
    </w:p>
    <w:p>
      <w:pPr>
        <w:jc w:val="center"/>
      </w:pPr>
      <w:r>
        <w:drawing>
          <wp:inline distT="0" distB="0" distL="114298" distR="114298">
            <wp:extent cx="5943600" cy="2704338"/>
            <wp:effectExtent l="0" t="0" r="0" b="0"/>
            <wp:docPr id="1" name="Imag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70433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ServiceNow Project Screenshot – 2</w:t>
      </w:r>
    </w:p>
    <w:p>
      <w:pPr>
        <w:jc w:val="center"/>
      </w:pPr>
      <w:r>
        <w:drawing>
          <wp:inline distT="0" distB="0" distL="114298" distR="114298">
            <wp:extent cx="5943600" cy="3120390"/>
            <wp:effectExtent l="0" t="0" r="0" b="0"/>
            <wp:docPr id="4" name="Imag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12039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ServiceNow Project Screenshot – 3</w:t>
      </w:r>
    </w:p>
    <w:p>
      <w:pPr>
        <w:jc w:val="center"/>
      </w:pPr>
      <w:r>
        <w:drawing>
          <wp:inline distT="0" distB="0" distL="114298" distR="114298">
            <wp:extent cx="5943600" cy="3150108"/>
            <wp:effectExtent l="0" t="0" r="0" b="0"/>
            <wp:docPr id="7" name="Imag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15010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ServiceNow Project Screenshot – 4</w:t>
      </w:r>
    </w:p>
    <w:p>
      <w:pPr>
        <w:jc w:val="center"/>
      </w:pPr>
      <w:r>
        <w:drawing>
          <wp:inline distT="0" distB="0" distL="114298" distR="114298">
            <wp:extent cx="5943600" cy="3150108"/>
            <wp:effectExtent l="0" t="0" r="0" b="0"/>
            <wp:docPr id="10" name="Imag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15010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ServiceNow Project Screenshot – 5</w:t>
      </w:r>
    </w:p>
    <w:p>
      <w:pPr>
        <w:jc w:val="center"/>
      </w:pPr>
      <w:r>
        <w:drawing>
          <wp:inline distT="0" distB="0" distL="114298" distR="114298">
            <wp:extent cx="5943600" cy="3151909"/>
            <wp:effectExtent l="0" t="0" r="0" b="0"/>
            <wp:docPr id="13" name="Imag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15190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ServiceNow Project Screenshot – 6</w:t>
      </w:r>
    </w:p>
    <w:p>
      <w:pPr>
        <w:jc w:val="center"/>
      </w:pPr>
      <w:r>
        <w:drawing>
          <wp:inline distT="0" distB="0" distL="114298" distR="114298">
            <wp:extent cx="5943600" cy="3345141"/>
            <wp:effectExtent l="0" t="0" r="0" b="0"/>
            <wp:docPr id="16" name="Imag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34514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ServiceNow Project Screenshot – 7</w:t>
      </w:r>
    </w:p>
    <w:p>
      <w:pPr>
        <w:jc w:val="center"/>
      </w:pPr>
      <w:r>
        <w:drawing>
          <wp:inline distT="0" distB="0" distL="114298" distR="114298">
            <wp:extent cx="5943600" cy="3298698"/>
            <wp:effectExtent l="0" t="0" r="0" b="0"/>
            <wp:docPr id="19" name="Imag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29869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ServiceNow Project Screenshot – 8</w:t>
      </w:r>
    </w:p>
    <w:p>
      <w:pPr>
        <w:jc w:val="center"/>
      </w:pPr>
      <w:r>
        <w:drawing>
          <wp:inline distT="0" distB="0" distL="114298" distR="114298">
            <wp:extent cx="5943600" cy="2956867"/>
            <wp:effectExtent l="0" t="0" r="0" b="0"/>
            <wp:docPr id="22" name="Imag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95686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ServiceNow Project Screenshot – 9</w:t>
      </w:r>
    </w:p>
    <w:p>
      <w:pPr>
        <w:jc w:val="center"/>
      </w:pPr>
      <w:r>
        <w:drawing>
          <wp:inline distT="0" distB="0" distL="114298" distR="114298">
            <wp:extent cx="5943600" cy="3120390"/>
            <wp:effectExtent l="0" t="0" r="0" b="0"/>
            <wp:docPr id="25" name="Imag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12039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ServiceNow Project Screenshot – 10</w:t>
      </w:r>
    </w:p>
    <w:p>
      <w:pPr>
        <w:jc w:val="center"/>
      </w:pPr>
      <w:r>
        <w:drawing>
          <wp:inline distT="0" distB="0" distL="114298" distR="114298">
            <wp:extent cx="5943600" cy="2296391"/>
            <wp:effectExtent l="0" t="0" r="0" b="0"/>
            <wp:docPr id="28" name="Imag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29639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ServiceNow Project Screenshot – 11</w:t>
      </w:r>
    </w:p>
    <w:p>
      <w:pPr>
        <w:jc w:val="center"/>
      </w:pPr>
      <w:r>
        <w:drawing>
          <wp:inline distT="0" distB="0" distL="114298" distR="114298">
            <wp:extent cx="5943600" cy="3181927"/>
            <wp:effectExtent l="0" t="0" r="0" b="0"/>
            <wp:docPr id="31" name="Imag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18192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ServiceNow Project Screenshot – 12</w:t>
      </w:r>
    </w:p>
    <w:p>
      <w:pPr>
        <w:jc w:val="center"/>
      </w:pPr>
      <w:r>
        <w:drawing>
          <wp:inline distT="0" distB="0" distL="114298" distR="114298">
            <wp:extent cx="5943600" cy="3165938"/>
            <wp:effectExtent l="0" t="0" r="0" b="0"/>
            <wp:docPr id="34" name="Imag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16593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ServiceNow Project Screenshot – 13</w:t>
      </w:r>
    </w:p>
    <w:p>
      <w:pPr>
        <w:jc w:val="center"/>
      </w:pPr>
      <w:r>
        <w:drawing>
          <wp:inline distT="0" distB="0" distL="114298" distR="114298">
            <wp:extent cx="5943600" cy="3120390"/>
            <wp:effectExtent l="0" t="0" r="0" b="0"/>
            <wp:docPr id="37" name="Imag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12039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ServiceNow Project Screenshot – 14</w:t>
      </w:r>
    </w:p>
    <w:p>
      <w:pPr>
        <w:jc w:val="center"/>
      </w:pPr>
      <w:r>
        <w:drawing>
          <wp:inline distT="0" distB="0" distL="114298" distR="114298">
            <wp:extent cx="5943600" cy="3165938"/>
            <wp:effectExtent l="0" t="0" r="0" b="0"/>
            <wp:docPr id="40" name="Imag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16593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ServiceNow Project Screenshot – 15</w:t>
      </w:r>
    </w:p>
    <w:p>
      <w:pPr>
        <w:jc w:val="center"/>
      </w:pPr>
      <w:r>
        <w:drawing>
          <wp:inline distT="0" distB="0" distL="114298" distR="114298">
            <wp:extent cx="5943600" cy="3120390"/>
            <wp:effectExtent l="0" t="0" r="0" b="0"/>
            <wp:docPr id="43" name="Imag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12039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ServiceNow Project Screenshot – 16</w:t>
      </w:r>
    </w:p>
    <w:p>
      <w:pPr>
        <w:jc w:val="center"/>
      </w:pPr>
      <w:r>
        <w:drawing>
          <wp:inline distT="0" distB="0" distL="114298" distR="114298">
            <wp:extent cx="5943600" cy="3165938"/>
            <wp:effectExtent l="0" t="0" r="0" b="0"/>
            <wp:docPr id="46" name="Imag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16593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ServiceNow Project Screenshot – 17</w:t>
      </w:r>
    </w:p>
    <w:p>
      <w:pPr>
        <w:jc w:val="center"/>
      </w:pPr>
      <w:r>
        <w:drawing>
          <wp:inline distT="0" distB="0" distL="114298" distR="114298">
            <wp:extent cx="5943600" cy="3165938"/>
            <wp:effectExtent l="0" t="0" r="0" b="0"/>
            <wp:docPr id="49" name="Imag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16593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ServiceNow Project Screenshot – 18</w:t>
      </w:r>
    </w:p>
    <w:p>
      <w:pPr>
        <w:jc w:val="center"/>
      </w:pPr>
      <w:r>
        <w:drawing>
          <wp:inline distT="0" distB="0" distL="114298" distR="114298">
            <wp:extent cx="5943600" cy="3962400"/>
            <wp:effectExtent l="0" t="0" r="0" b="0"/>
            <wp:docPr id="52" name="Imag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9624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0"/>
        </w:rPr>
        <w:t>ServiceNow Project Screenshot – 19</w:t>
      </w:r>
    </w:p>
    <w:p>
      <w:pPr>
        <w:jc w:val="center"/>
      </w:pPr>
      <w:r>
        <w:drawing>
          <wp:inline distT="0" distB="0" distL="114298" distR="114298">
            <wp:extent cx="5943600" cy="3120390"/>
            <wp:effectExtent l="0" t="0" r="0" b="0"/>
            <wp:docPr id="55" name="Imag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12039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792" w:right="936" w:bottom="792" w:left="936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Droid Sans"/>
    <w:panose1 w:val="00000000000000000000"/>
    <w:charset w:val="80"/>
    <w:family w:val="roman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Droid Sans"/>
    <w:panose1 w:val="00000000000000000000"/>
    <w:charset w:val="80"/>
    <w:family w:val="modern"/>
    <w:pitch w:val="variable"/>
    <w:sig w:usb0="00000001" w:usb1="08070000" w:usb2="00000010" w:usb3="00000000" w:csb0="00020000" w:csb1="00000000"/>
  </w:font>
  <w:font w:name="Courier">
    <w:altName w:val="Courier New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singleLevel"/>
    <w:tmpl w:val="29761A62"/>
    <w:lvl w:ilvl="0">
      <w:start w:val="1"/>
      <w:numFmt w:val="bullet"/>
      <w:lvlRestart w:val="0"/>
      <w:pStyle w:val="27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multiLevelType w:val="singleLevel"/>
    <w:tmpl w:val="3D1EFFD4"/>
    <w:lvl w:ilvl="0">
      <w:start w:val="1"/>
      <w:numFmt w:val="bullet"/>
      <w:lvlRestart w:val="0"/>
      <w:pStyle w:val="28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singleLevel"/>
    <w:tmpl w:val="F3EAFDEC"/>
    <w:lvl w:ilvl="0">
      <w:start w:val="1"/>
      <w:numFmt w:val="bullet"/>
      <w:lvlRestart w:val="0"/>
      <w:pStyle w:val="29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multiLevelType w:val="singleLevel"/>
    <w:tmpl w:val="D0A62B40"/>
    <w:lvl w:ilvl="0">
      <w:start w:val="1"/>
      <w:numFmt w:val="decimal"/>
      <w:lvlRestart w:val="0"/>
      <w:pStyle w:val="3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multiLevelType w:val="singleLevel"/>
    <w:tmpl w:val="38441652"/>
    <w:lvl w:ilvl="0">
      <w:start w:val="1"/>
      <w:numFmt w:val="decimal"/>
      <w:lvlRestart w:val="0"/>
      <w:pStyle w:val="31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multiLevelType w:val="singleLevel"/>
    <w:tmpl w:val="FB12693A"/>
    <w:lvl w:ilvl="0">
      <w:start w:val="1"/>
      <w:numFmt w:val="decimal"/>
      <w:lvlRestart w:val="0"/>
      <w:pStyle w:val="32"/>
      <w:lvlText w:val="%1."/>
      <w:lvlJc w:val="left"/>
      <w:pPr>
        <w:tabs>
          <w:tab w:val="num" w:pos="1080"/>
        </w:tabs>
        <w:ind w:left="10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30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savePreviewPicture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00" w:line="276" w:lineRule="auto"/>
    </w:pPr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480" w:after="0"/>
      <w:outlineLvl w:val="0"/>
    </w:pPr>
    <w:rPr>
      <w:rFonts w:ascii="Calibri" w:eastAsia="ＭＳ ゴシック" w:cs="Times New Roman" w:hAnsi="Calibri"/>
      <w:b/>
      <w:bCs/>
      <w:color w:val="365F91"/>
      <w:sz w:val="28"/>
      <w:szCs w:val="28"/>
    </w:rPr>
  </w:style>
  <w:style w:type="paragraph" w:styleId="2">
    <w:name w:val="heading 2"/>
    <w:basedOn w:val="0"/>
    <w:next w:val="0"/>
    <w:pPr>
      <w:keepNext/>
      <w:keepLines/>
      <w:spacing w:before="200" w:after="0"/>
      <w:outlineLvl w:val="1"/>
    </w:pPr>
    <w:rPr>
      <w:rFonts w:ascii="Calibri" w:eastAsia="ＭＳ ゴシック" w:cs="Times New Roman" w:hAnsi="Calibri"/>
      <w:b/>
      <w:bCs/>
      <w:color w:val="4F81BD"/>
      <w:sz w:val="26"/>
      <w:szCs w:val="26"/>
    </w:rPr>
  </w:style>
  <w:style w:type="paragraph" w:styleId="3">
    <w:name w:val="heading 3"/>
    <w:basedOn w:val="0"/>
    <w:next w:val="0"/>
    <w:pPr>
      <w:keepNext/>
      <w:keepLines/>
      <w:spacing w:before="200" w:after="0"/>
      <w:outlineLvl w:val="2"/>
    </w:pPr>
    <w:rPr>
      <w:rFonts w:ascii="Calibri" w:eastAsia="ＭＳ ゴシック" w:cs="Times New Roman" w:hAnsi="Calibri"/>
      <w:b/>
      <w:bCs/>
      <w:color w:val="4F81BD"/>
    </w:rPr>
  </w:style>
  <w:style w:type="paragraph" w:styleId="4">
    <w:name w:val="heading 4"/>
    <w:basedOn w:val="0"/>
    <w:next w:val="0"/>
    <w:pPr>
      <w:keepNext/>
      <w:keepLines/>
      <w:spacing w:before="200" w:after="0"/>
      <w:outlineLvl w:val="3"/>
    </w:pPr>
    <w:rPr>
      <w:rFonts w:ascii="Calibri" w:eastAsia="ＭＳ ゴシック" w:cs="Times New Roman" w:hAnsi="Calibri"/>
      <w:b/>
      <w:bCs/>
      <w:i/>
      <w:iCs/>
      <w:color w:val="4F81BD"/>
    </w:rPr>
  </w:style>
  <w:style w:type="paragraph" w:styleId="5">
    <w:name w:val="heading 5"/>
    <w:basedOn w:val="0"/>
    <w:next w:val="0"/>
    <w:pPr>
      <w:keepNext/>
      <w:keepLines/>
      <w:spacing w:before="200" w:after="0"/>
      <w:outlineLvl w:val="4"/>
    </w:pPr>
    <w:rPr>
      <w:rFonts w:ascii="Calibri" w:eastAsia="ＭＳ ゴシック" w:cs="Times New Roman" w:hAnsi="Calibri"/>
      <w:color w:val="243F60"/>
    </w:rPr>
  </w:style>
  <w:style w:type="paragraph" w:styleId="6">
    <w:name w:val="heading 6"/>
    <w:basedOn w:val="0"/>
    <w:next w:val="0"/>
    <w:pPr>
      <w:keepNext/>
      <w:keepLines/>
      <w:spacing w:before="200" w:after="0"/>
      <w:outlineLvl w:val="5"/>
    </w:pPr>
    <w:rPr>
      <w:rFonts w:ascii="Calibri" w:eastAsia="ＭＳ ゴシック" w:cs="Times New Roman" w:hAnsi="Calibri"/>
      <w:i/>
      <w:iCs/>
      <w:color w:val="243F60"/>
    </w:rPr>
  </w:style>
  <w:style w:type="paragraph" w:styleId="7">
    <w:name w:val="heading 7"/>
    <w:basedOn w:val="0"/>
    <w:next w:val="0"/>
    <w:pPr>
      <w:keepNext/>
      <w:keepLines/>
      <w:spacing w:before="200" w:after="0"/>
      <w:outlineLvl w:val="6"/>
    </w:pPr>
    <w:rPr>
      <w:rFonts w:ascii="Calibri" w:eastAsia="ＭＳ ゴシック" w:cs="Times New Roman" w:hAnsi="Calibri"/>
      <w:i/>
      <w:iCs/>
      <w:color w:val="404040"/>
    </w:rPr>
  </w:style>
  <w:style w:type="paragraph" w:styleId="8">
    <w:name w:val="heading 8"/>
    <w:basedOn w:val="0"/>
    <w:next w:val="0"/>
    <w:pPr>
      <w:keepNext/>
      <w:keepLines/>
      <w:spacing w:before="200" w:after="0"/>
      <w:outlineLvl w:val="7"/>
    </w:pPr>
    <w:rPr>
      <w:rFonts w:ascii="Calibri" w:eastAsia="ＭＳ ゴシック" w:cs="Times New Roman" w:hAnsi="Calibri"/>
      <w:color w:val="4F81BD"/>
      <w:sz w:val="20"/>
      <w:szCs w:val="20"/>
    </w:rPr>
  </w:style>
  <w:style w:type="paragraph" w:styleId="9">
    <w:name w:val="heading 9"/>
    <w:basedOn w:val="0"/>
    <w:next w:val="0"/>
    <w:pPr>
      <w:keepNext/>
      <w:keepLines/>
      <w:spacing w:before="200" w:after="0"/>
      <w:outlineLvl w:val="8"/>
    </w:pPr>
    <w:rPr>
      <w:rFonts w:ascii="Calibri" w:eastAsia="ＭＳ ゴシック" w:cs="Times New Roman" w:hAnsi="Calibri"/>
      <w:i/>
      <w:iCs/>
      <w:color w:val="404040"/>
      <w:sz w:val="20"/>
      <w:szCs w:val="20"/>
    </w:rPr>
  </w:style>
  <w:style w:type="character" w:default="1" w:styleId="10">
    <w:name w:val="Default Paragraph Font"/>
  </w:style>
  <w:style w:type="paragraph" w:styleId="15">
    <w:name w:val="head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foot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17">
    <w:name w:val="No Spacing"/>
    <w:pPr>
      <w:spacing w:after="0" w:line="240" w:lineRule="auto"/>
    </w:pPr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styleId="18">
    <w:name w:val="Title"/>
    <w:basedOn w:val="0"/>
    <w:next w:val="0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ＭＳ ゴシック" w:cs="Times New Roman" w:hAnsi="Calibri"/>
      <w:color w:val="17365D"/>
      <w:spacing w:val="5"/>
      <w:kern w:val="28"/>
      <w:sz w:val="52"/>
      <w:szCs w:val="52"/>
    </w:rPr>
  </w:style>
  <w:style w:type="paragraph" w:styleId="19">
    <w:name w:val="Subtitle"/>
    <w:basedOn w:val="0"/>
    <w:next w:val="0"/>
    <w:rPr>
      <w:rFonts w:ascii="Calibri" w:eastAsia="ＭＳ ゴシック" w:cs="Times New Roman" w:hAnsi="Calibri"/>
      <w:i/>
      <w:iCs/>
      <w:color w:val="4F81BD"/>
      <w:spacing w:val="15"/>
      <w:sz w:val="24"/>
      <w:szCs w:val="24"/>
    </w:rPr>
  </w:style>
  <w:style w:type="paragraph" w:customStyle="1" w:styleId="20">
    <w:name w:val="List Paragraph"/>
    <w:basedOn w:val="0"/>
    <w:pPr>
      <w:ind w:left="720"/>
      <w:contextualSpacing/>
    </w:pPr>
  </w:style>
  <w:style w:type="paragraph" w:styleId="21">
    <w:name w:val="Body Text"/>
    <w:basedOn w:val="0"/>
    <w:pPr>
      <w:spacing w:after="120"/>
    </w:pPr>
  </w:style>
  <w:style w:type="paragraph" w:styleId="22">
    <w:name w:val="Body Text 2"/>
    <w:basedOn w:val="0"/>
    <w:pPr>
      <w:spacing w:after="120" w:line="480" w:lineRule="auto"/>
    </w:pPr>
  </w:style>
  <w:style w:type="paragraph" w:styleId="23">
    <w:name w:val="Body Text 3"/>
    <w:basedOn w:val="0"/>
    <w:pPr>
      <w:spacing w:after="120"/>
    </w:pPr>
    <w:rPr>
      <w:sz w:val="16"/>
      <w:szCs w:val="16"/>
    </w:rPr>
  </w:style>
  <w:style w:type="paragraph" w:styleId="24">
    <w:name w:val="List"/>
    <w:basedOn w:val="0"/>
    <w:pPr>
      <w:ind w:left="360" w:hanging="360"/>
      <w:contextualSpacing/>
    </w:pPr>
  </w:style>
  <w:style w:type="paragraph" w:styleId="25">
    <w:name w:val="List 2"/>
    <w:basedOn w:val="0"/>
    <w:pPr>
      <w:ind w:left="720" w:hanging="360"/>
      <w:contextualSpacing/>
    </w:pPr>
  </w:style>
  <w:style w:type="paragraph" w:styleId="26">
    <w:name w:val="List 3"/>
    <w:basedOn w:val="0"/>
    <w:pPr>
      <w:ind w:left="1080" w:hanging="360"/>
      <w:contextualSpacing/>
    </w:pPr>
  </w:style>
  <w:style w:type="paragraph" w:styleId="27">
    <w:name w:val="List Bullet"/>
    <w:basedOn w:val="0"/>
    <w:pPr>
      <w:numPr>
        <w:ilvl w:val="0"/>
        <w:numId w:val="1"/>
      </w:numPr>
      <w:contextualSpacing/>
    </w:pPr>
  </w:style>
  <w:style w:type="paragraph" w:styleId="28">
    <w:name w:val="List Bullet 2"/>
    <w:basedOn w:val="0"/>
    <w:pPr>
      <w:numPr>
        <w:ilvl w:val="0"/>
        <w:numId w:val="2"/>
      </w:numPr>
      <w:contextualSpacing/>
    </w:pPr>
  </w:style>
  <w:style w:type="paragraph" w:styleId="29">
    <w:name w:val="List Bullet 3"/>
    <w:basedOn w:val="0"/>
    <w:pPr>
      <w:numPr>
        <w:ilvl w:val="0"/>
        <w:numId w:val="3"/>
      </w:numPr>
      <w:contextualSpacing/>
    </w:pPr>
  </w:style>
  <w:style w:type="paragraph" w:styleId="30">
    <w:name w:val="List Number"/>
    <w:basedOn w:val="0"/>
    <w:pPr>
      <w:numPr>
        <w:ilvl w:val="0"/>
        <w:numId w:val="4"/>
      </w:numPr>
      <w:contextualSpacing/>
    </w:pPr>
  </w:style>
  <w:style w:type="paragraph" w:styleId="31">
    <w:name w:val="List Number 2"/>
    <w:basedOn w:val="0"/>
    <w:pPr>
      <w:numPr>
        <w:ilvl w:val="0"/>
        <w:numId w:val="5"/>
      </w:numPr>
      <w:contextualSpacing/>
    </w:pPr>
  </w:style>
  <w:style w:type="paragraph" w:styleId="32">
    <w:name w:val="List Number 3"/>
    <w:basedOn w:val="0"/>
    <w:pPr>
      <w:numPr>
        <w:ilvl w:val="0"/>
        <w:numId w:val="6"/>
      </w:numPr>
      <w:contextualSpacing/>
    </w:pPr>
  </w:style>
  <w:style w:type="paragraph" w:styleId="33">
    <w:name w:val="List Continue"/>
    <w:basedOn w:val="0"/>
    <w:pPr>
      <w:spacing w:after="120"/>
      <w:ind w:left="360"/>
      <w:contextualSpacing/>
    </w:pPr>
  </w:style>
  <w:style w:type="paragraph" w:styleId="34">
    <w:name w:val="List Continue 2"/>
    <w:basedOn w:val="0"/>
    <w:pPr>
      <w:spacing w:after="120"/>
      <w:ind w:left="720"/>
      <w:contextualSpacing/>
    </w:pPr>
  </w:style>
  <w:style w:type="paragraph" w:styleId="35">
    <w:name w:val="List Continue 3"/>
    <w:basedOn w:val="0"/>
    <w:pPr>
      <w:spacing w:after="120"/>
      <w:ind w:left="1080"/>
      <w:contextualSpacing/>
    </w:pPr>
  </w:style>
  <w:style w:type="paragraph" w:styleId="36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ＭＳ 明朝" w:cs="Arial" w:hAnsi="Courier"/>
      <w:sz w:val="20"/>
      <w:szCs w:val="20"/>
      <w:lang w:val="en-US" w:eastAsia="en-US" w:bidi="ar-SA"/>
    </w:rPr>
  </w:style>
  <w:style w:type="paragraph" w:customStyle="1" w:styleId="37">
    <w:name w:val="Quote"/>
    <w:basedOn w:val="0"/>
    <w:next w:val="0"/>
    <w:rPr>
      <w:i/>
      <w:iCs/>
      <w:color w:val="000000"/>
    </w:rPr>
  </w:style>
  <w:style w:type="paragraph" w:styleId="38">
    <w:name w:val="caption"/>
    <w:basedOn w:val="0"/>
    <w:next w:val="0"/>
    <w:pPr>
      <w:spacing w:line="240" w:lineRule="auto"/>
    </w:pPr>
    <w:rPr>
      <w:b/>
      <w:bCs/>
      <w:color w:val="4F81BD"/>
      <w:sz w:val="18"/>
      <w:szCs w:val="18"/>
    </w:rPr>
  </w:style>
  <w:style w:type="character" w:styleId="39">
    <w:name w:val="Strong"/>
    <w:basedOn w:val="10"/>
    <w:rPr>
      <w:b/>
      <w:bCs/>
    </w:rPr>
  </w:style>
  <w:style w:type="character" w:styleId="40">
    <w:name w:val="Emphasis"/>
    <w:basedOn w:val="10"/>
    <w:rPr>
      <w:i/>
      <w:iCs/>
    </w:rPr>
  </w:style>
  <w:style w:type="paragraph" w:customStyle="1" w:styleId="41">
    <w:name w:val="Intense Quote"/>
    <w:basedOn w:val="0"/>
    <w:next w:val="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42">
    <w:name w:val="Subtle Emphasis"/>
    <w:basedOn w:val="10"/>
    <w:rPr>
      <w:i/>
      <w:iCs/>
      <w:color w:val="808080"/>
    </w:rPr>
  </w:style>
  <w:style w:type="character" w:customStyle="1" w:styleId="43">
    <w:name w:val="Intense Emphasis"/>
    <w:basedOn w:val="10"/>
    <w:rPr>
      <w:b/>
      <w:bCs/>
      <w:i/>
      <w:iCs/>
      <w:color w:val="4F81BD"/>
    </w:rPr>
  </w:style>
  <w:style w:type="character" w:customStyle="1" w:styleId="44">
    <w:name w:val="Subtle Reference"/>
    <w:basedOn w:val="10"/>
    <w:rPr>
      <w:caps w:val="0"/>
      <w:smallCaps/>
      <w:color w:val="C0504D"/>
      <w:u w:val="single"/>
    </w:rPr>
  </w:style>
  <w:style w:type="character" w:customStyle="1" w:styleId="45">
    <w:name w:val="Intense Reference"/>
    <w:basedOn w:val="10"/>
    <w:rPr>
      <w:b/>
      <w:bCs/>
      <w:caps w:val="0"/>
      <w:smallCaps/>
      <w:color w:val="C0504D"/>
      <w:spacing w:val="5"/>
      <w:u w:val="single"/>
    </w:rPr>
  </w:style>
  <w:style w:type="character" w:customStyle="1" w:styleId="46">
    <w:name w:val="Book Title"/>
    <w:basedOn w:val="10"/>
    <w:rPr>
      <w:b/>
      <w:bCs/>
      <w:caps w:val="0"/>
      <w:smallCaps/>
      <w:spacing w:val="5"/>
    </w:rPr>
  </w:style>
  <w:style w:type="paragraph" w:customStyle="1" w:styleId="47">
    <w:name w:val="TOC Heading"/>
    <w:basedOn w:val="1"/>
    <w:next w:val="0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image" Target="media/11.png"/><Relationship Id="rId6" Type="http://schemas.openxmlformats.org/officeDocument/2006/relationships/image" Target="media/14.png"/><Relationship Id="rId7" Type="http://schemas.openxmlformats.org/officeDocument/2006/relationships/image" Target="media/17.png"/><Relationship Id="rId8" Type="http://schemas.openxmlformats.org/officeDocument/2006/relationships/image" Target="media/20.png"/><Relationship Id="rId9" Type="http://schemas.openxmlformats.org/officeDocument/2006/relationships/image" Target="media/23.png"/><Relationship Id="rId10" Type="http://schemas.openxmlformats.org/officeDocument/2006/relationships/image" Target="media/26.png"/><Relationship Id="rId11" Type="http://schemas.openxmlformats.org/officeDocument/2006/relationships/image" Target="media/29.png"/><Relationship Id="rId12" Type="http://schemas.openxmlformats.org/officeDocument/2006/relationships/image" Target="media/32.png"/><Relationship Id="rId13" Type="http://schemas.openxmlformats.org/officeDocument/2006/relationships/image" Target="media/35.png"/><Relationship Id="rId14" Type="http://schemas.openxmlformats.org/officeDocument/2006/relationships/image" Target="media/38.png"/><Relationship Id="rId15" Type="http://schemas.openxmlformats.org/officeDocument/2006/relationships/image" Target="media/41.png"/><Relationship Id="rId16" Type="http://schemas.openxmlformats.org/officeDocument/2006/relationships/image" Target="media/44.png"/><Relationship Id="rId17" Type="http://schemas.openxmlformats.org/officeDocument/2006/relationships/image" Target="media/47.png"/><Relationship Id="rId18" Type="http://schemas.openxmlformats.org/officeDocument/2006/relationships/image" Target="media/50.png"/><Relationship Id="rId19" Type="http://schemas.openxmlformats.org/officeDocument/2006/relationships/image" Target="media/53.png"/><Relationship Id="rId20" Type="http://schemas.openxmlformats.org/officeDocument/2006/relationships/image" Target="media/56.png"/><Relationship Id="rId21" Type="http://schemas.openxmlformats.org/officeDocument/2006/relationships/styles" Target="styles.xml"/><Relationship Id="rId22" Type="http://schemas.openxmlformats.org/officeDocument/2006/relationships/numbering" Target="numbering.xml"/><Relationship Id="rId2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22</Pages>
  <Words>556</Words>
  <Characters>3859</Characters>
  <Lines>110</Lines>
  <Paragraphs>74</Paragraphs>
  <CharactersWithSpaces>4378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python-docx</dc:creator>
  <dc:description>generated by python-docx</dc:description>
  <cp:lastModifiedBy>Mobile phone user</cp:lastModifiedBy>
  <cp:revision>1</cp:revision>
  <dcterms:created xsi:type="dcterms:W3CDTF">2013-12-23T23:15:00Z</dcterms:created>
  <dcterms:modified xsi:type="dcterms:W3CDTF">2026-09-10T13:16:26Z</dcterms:modified>
</cp:coreProperties>
</file>