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32"/>
        </w:rPr>
        <w:t>PROJECT DESIGN PHASE</w:t>
      </w:r>
    </w:p>
    <w:p>
      <w:pPr>
        <w:jc w:val="center"/>
      </w:pPr>
      <w:r>
        <w:rPr>
          <w:b/>
          <w:sz w:val="36"/>
        </w:rPr>
        <w:t>Proposed Solution Template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>
        <w:tc>
          <w:tcPr>
            <w:tcW w:w="2592" w:type="dxa"/>
          </w:tcPr>
          <w:p>
            <w:r>
              <w:rPr>
                <w:sz w:val="17"/>
              </w:rPr>
              <w:t>Date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06 September 2026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Name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V.Maheswari</w:t>
            </w:r>
            <w:bookmarkStart w:id="0" w:name="_GoBack"/>
            <w:bookmarkEnd w:id="0"/>
          </w:p>
        </w:tc>
      </w:tr>
      <w:tr>
        <w:tc>
          <w:tcPr>
            <w:tcW w:w="2592" w:type="dxa"/>
          </w:tcPr>
          <w:p>
            <w:r>
              <w:rPr>
                <w:sz w:val="17"/>
              </w:rPr>
              <w:t>Project Name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Incident Lifecycle Automation in ServiceNow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Maximum Marks</w:t>
            </w:r>
          </w:p>
        </w:tc>
        <w:tc>
          <w:tcPr>
            <w:tcW w:w="2592" w:type="dxa"/>
          </w:tcPr>
          <w:p>
            <w:r>
              <w:rPr>
                <w:sz w:val="17"/>
              </w:rPr>
              <w:t>2 Marks</w:t>
            </w:r>
          </w:p>
        </w:tc>
      </w:tr>
    </w:tbl>
    <w:p>
      <w:r>
        <w:rPr>
          <w:b/>
          <w:sz w:val="26"/>
        </w:rPr>
        <w:t>Proposed Solution Template:</w:t>
      </w:r>
    </w:p>
    <w:p>
      <w:r>
        <w:t>The project team proposes a ServiceNow-based Incident Management solution that standardizes the complete incident lifecycle, improves visibility, supports faster resolution, and strengthens SLA compliance.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>
        <w:tc>
          <w:tcPr>
            <w:tcW w:w="3456" w:type="dxa"/>
          </w:tcPr>
          <w:p>
            <w:r>
              <w:rPr>
                <w:b/>
                <w:sz w:val="18"/>
              </w:rPr>
              <w:t>S.No.</w:t>
            </w:r>
          </w:p>
        </w:tc>
        <w:tc>
          <w:tcPr>
            <w:tcW w:w="3456" w:type="dxa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w="3456" w:type="dxa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Problem Statement (Problem to be solved)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Incidents reported through emails, phone calls, or informal channels can result in poor tracking, incorrect classification, delayed escalation, limited resolution visibility, SLA breaches, and weak root-cause tracking.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2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Idea / Solution description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Automate and standardize Incident Management using ServiceNow. Service Desk agents create and classify incidents; incidents are assigned to suitable support groups; Level 2 technicians investigate and resolve them; emergency changes and child incidents can be created when required; resolved incidents can be converted into reusable knowledge articles.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3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Novelty / Uniqueness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solution connects incident handling with Knowledge Management, reassignment, emergency change requests, child incidents, and knowledge creation within one structured lifecycle, reducing disconnected manual activities.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4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Social Impact / Customer Satisfaction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Faster and more transparent incident handling improves service experience. Users benefit from clearer status tracking, quicker resolution, consistent communication, and better reuse of known solutions.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5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Business Model (Revenue Model)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solution is intended for organizational IT service operations. Business value comes from improved productivity, reduced incident-handling effort, better SLA compliance, and more efficient use of support resources.</w:t>
            </w:r>
          </w:p>
        </w:tc>
      </w:tr>
      <w:tr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Scalability of the Solution</w:t>
            </w:r>
          </w:p>
        </w:tc>
        <w:tc>
          <w:tcPr>
            <w:tcW w:w="3456" w:type="dxa"/>
            <w:vAlign w:val="center"/>
          </w:tcPr>
          <w:p>
            <w:pPr>
              <w:spacing w:after="40"/>
            </w:pPr>
            <w:r>
              <w:rPr>
                <w:sz w:val="17"/>
              </w:rPr>
              <w:t>The workflow can be extended across departments, support groups, services, and incident volumes. Additional automation, SLA rules, dashboards, knowledge articles, and escalation paths can be added as organizational needs grow.</w:t>
            </w:r>
          </w:p>
        </w:tc>
      </w:tr>
    </w:tbl>
    <w:p>
      <w:r>
        <w:drawing>
          <wp:inline distT="0" distB="0" distL="114298" distR="114298">
            <wp:extent cx="6400800" cy="204825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0482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Proposed ServiceNow Incident Lifecycle</w:t>
      </w:r>
    </w:p>
    <w:p>
      <w:r>
        <w:br w:type="page"/>
      </w:r>
    </w:p>
    <w:p>
      <w:pPr>
        <w:jc w:val="center"/>
      </w:pPr>
      <w:r>
        <w:rPr>
          <w:b/>
          <w:sz w:val="30"/>
        </w:rPr>
        <w:t>SOLUTION WORKFLOW&amp;EXPECTED OUTCOME</w:t>
      </w:r>
    </w:p>
    <w:p>
      <w:r>
        <w:rPr>
          <w:b/>
          <w:sz w:val="26"/>
        </w:rPr>
        <w:t>How the Proposed Solution Works</w:t>
      </w:r>
    </w:p>
    <w:p>
      <w:pPr>
        <w:ind w:left="259"/>
      </w:pPr>
      <w:r>
        <w:rPr>
          <w:b/>
        </w:rPr>
        <w:t xml:space="preserve">• </w:t>
      </w:r>
      <w:r>
        <w:t>Incident Creation – Service Desk agents record incidents with relevant details.</w:t>
      </w:r>
    </w:p>
    <w:p>
      <w:pPr>
        <w:ind w:left="259"/>
      </w:pPr>
      <w:r>
        <w:rPr>
          <w:b/>
        </w:rPr>
        <w:t xml:space="preserve">• </w:t>
      </w:r>
      <w:r>
        <w:t>Classification&amp;Assignment – Incidents are categorized, prioritized, and routed to the appropriate support group.</w:t>
      </w:r>
    </w:p>
    <w:p>
      <w:pPr>
        <w:ind w:left="259"/>
      </w:pPr>
      <w:r>
        <w:rPr>
          <w:b/>
        </w:rPr>
        <w:t xml:space="preserve">• </w:t>
      </w:r>
      <w:r>
        <w:t>L2 Investigation – Level 2 technicians investigate the issue, update work notes, and apply the required resolution.</w:t>
      </w:r>
    </w:p>
    <w:p>
      <w:pPr>
        <w:ind w:left="259"/>
      </w:pPr>
      <w:r>
        <w:rPr>
          <w:b/>
        </w:rPr>
        <w:t xml:space="preserve">• </w:t>
      </w:r>
      <w:r>
        <w:t>Change&amp;Child Incident Handling – Emergency change requests can be initiated from incidents, and child incidents can track related or recurring issues.</w:t>
      </w:r>
    </w:p>
    <w:p>
      <w:pPr>
        <w:ind w:left="259"/>
      </w:pPr>
      <w:r>
        <w:rPr>
          <w:b/>
        </w:rPr>
        <w:t xml:space="preserve">• </w:t>
      </w:r>
      <w:r>
        <w:t>Knowledge&amp;Closure – Resolved incidents can support knowledge article creation, while final closure records the resolution and SLA outcome.</w:t>
      </w:r>
    </w:p>
    <w:p>
      <w:r>
        <w:rPr>
          <w:b/>
          <w:sz w:val="26"/>
        </w:rPr>
        <w:t>Expected Outcomes</w:t>
      </w:r>
    </w:p>
    <w:p>
      <w:pPr>
        <w:ind w:left="259"/>
      </w:pPr>
      <w:r>
        <w:rPr>
          <w:b/>
        </w:rPr>
        <w:t xml:space="preserve">• </w:t>
      </w:r>
      <w:r>
        <w:t>Centralized incident tracking and improved service visibility.</w:t>
      </w:r>
    </w:p>
    <w:p>
      <w:pPr>
        <w:ind w:left="259"/>
      </w:pPr>
      <w:r>
        <w:rPr>
          <w:b/>
        </w:rPr>
        <w:t xml:space="preserve">• </w:t>
      </w:r>
      <w:r>
        <w:t>Faster resolution through Knowledge Management and solution reuse.</w:t>
      </w:r>
    </w:p>
    <w:p>
      <w:pPr>
        <w:ind w:left="259"/>
      </w:pPr>
      <w:r>
        <w:rPr>
          <w:b/>
        </w:rPr>
        <w:t xml:space="preserve">• </w:t>
      </w:r>
      <w:r>
        <w:t>Better escalation, reassignment, and collaboration across support levels.</w:t>
      </w:r>
    </w:p>
    <w:p>
      <w:pPr>
        <w:ind w:left="259"/>
      </w:pPr>
      <w:r>
        <w:rPr>
          <w:b/>
        </w:rPr>
        <w:t xml:space="preserve">• </w:t>
      </w:r>
      <w:r>
        <w:t>Improved SLA compliance and reduced risk of delayed resolution.</w:t>
      </w:r>
    </w:p>
    <w:p>
      <w:pPr>
        <w:ind w:left="259"/>
      </w:pPr>
      <w:r>
        <w:rPr>
          <w:b/>
        </w:rPr>
        <w:t xml:space="preserve">• </w:t>
      </w:r>
      <w:r>
        <w:t>Reusable knowledge captured from successful incident resolutions.</w:t>
      </w:r>
    </w:p>
    <w:p>
      <w:r>
        <w:drawing>
          <wp:inline distT="0" distB="0" distL="114298" distR="114298">
            <wp:extent cx="6400800" cy="277368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0800" cy="277368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Illustrative ServiceNow Incident Management workspace</w:t>
      </w:r>
    </w:p>
    <w:p>
      <w:r>
        <w:rPr>
          <w:b/>
          <w:sz w:val="26"/>
        </w:rPr>
        <w:t>References</w:t>
      </w:r>
    </w:p>
    <w:p>
      <w:r>
        <w:t>1. Provided Incident Lifecycle Automation in ServiceNow requirements.</w:t>
        <w:br/>
        <w:t>2. Provided Proposed Solution Template.</w:t>
      </w:r>
    </w:p>
    <w:sectPr>
      <w:pgSz w:w="12240" w:h="15840"/>
      <w:pgMar w:top="792" w:right="936" w:bottom="792" w:left="936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0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20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3</Pages>
  <Words>428</Words>
  <Characters>2908</Characters>
  <Lines>96</Lines>
  <Paragraphs>51</Paragraphs>
  <CharactersWithSpaces>3291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2026-09-09T13:39:20Z</dcterms:modified>
</cp:coreProperties>
</file>