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5de1df8d3dfa4181" /><Relationship Type="http://schemas.openxmlformats.org/package/2006/relationships/metadata/core-properties" Target="/docProps/core.xml" Id="R6470ded256ac4fc7" /><Relationship Type="http://schemas.openxmlformats.org/officeDocument/2006/relationships/extended-properties" Target="/docProps/app.xml" Id="Refdcc5a8b7804b5a" /><Relationship Type="http://schemas.openxmlformats.org/officeDocument/2006/relationships/custom-properties" Target="/docProps/custom.xml" Id="R98b120386d6f44d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1200"/>
      </w:pPr>
      <w:r>
        <w:rPr/>
        <w:t xml:space="preserve"/>
      </w:r>
    </w:p>
    <w:p w14:paraId="00100002" w14:textId="00100003">
      <w:pPr>
        <w:pStyle w:val="Normal"/>
        <w:spacing w:after="160"/>
        <w:jc w:val="center"/>
      </w:pPr>
      <w:r>
        <w:rPr>
          <w:b/>
          <w:color w:val="0D1B2A"/>
          <w:sz w:val="68"/>
        </w:rPr>
        <w:t xml:space="preserve">EV MARKET ANALYSIS 2026</w:t>
      </w:r>
    </w:p>
    <w:p w14:paraId="00100004" w14:textId="00100005">
      <w:pPr>
        <w:pStyle w:val="Normal"/>
        <w:spacing w:after="120"/>
        <w:jc w:val="center"/>
      </w:pPr>
      <w:r>
        <w:rPr>
          <w:b w:val="false"/>
          <w:color w:val="00B4D8"/>
          <w:sz w:val="40"/>
        </w:rPr>
        <w:t xml:space="preserve">Data Analytics &amp; Business Intelligence</w:t>
      </w:r>
    </w:p>
    <w:p w14:paraId="00100006" w14:textId="00100007">
      <w:pPr>
        <w:pStyle w:val="Normal"/>
        <w:spacing w:after="560"/>
        <w:jc w:val="center"/>
      </w:pPr>
      <w:r>
        <w:rPr>
          <w:color w:val="444444"/>
          <w:sz w:val="28"/>
        </w:rPr>
        <w:t xml:space="preserve">Project Report — Full Technical Documentation with UI Analysis</w:t>
      </w:r>
    </w:p>
    <w:tbl>
      <w:tblPr>
        <w:tblW w:w="3500" w:type="pct"/>
        <w:jc w:val="center"/>
        <w:tblBorders>
          <w:top w:val="single" w:sz="4"/>
          <w:left w:val="single" w:sz="4"/>
          <w:bottom w:val="single" w:sz="4"/>
          <w:right w:val="single" w:sz="4"/>
          <w:insideH w:val="single" w:sz="4"/>
          <w:insideV w:val="single" w:sz="4"/>
        </w:tblBorders>
      </w:tblPr>
      <w:tblGrid>
        <w:gridCol w:w="4153"/>
        <w:gridCol w:w="4153"/>
      </w:tblGrid>
      <w:tr>
        <w:trPr>
          <w:tblHeader/>
        </w:trPr>
        <w:tc>
          <w:p w14:paraId="00100008" w14:textId="00100009">
            <w:r>
              <w:t xml:space="preserve">Project Title</w:t>
            </w:r>
          </w:p>
        </w:tc>
        <w:tc>
          <w:p w14:paraId="0010000A" w14:textId="0010000B">
            <w:r>
              <w:t xml:space="preserve">EV Market Data Analytics &amp; Business Intelligence</w:t>
            </w:r>
          </w:p>
        </w:tc>
      </w:tr>
      <w:tr>
        <w:trPr/>
        <w:tc>
          <w:p w14:paraId="0010000C" w14:textId="0010000D">
            <w:r>
              <w:t xml:space="preserve">Dataset</w:t>
            </w:r>
          </w:p>
        </w:tc>
        <w:tc>
          <w:p w14:paraId="0010000E" w14:textId="0010000F">
            <w:r>
              <w:t xml:space="preserve">ev_market_2026.csv</w:t>
            </w:r>
          </w:p>
        </w:tc>
      </w:tr>
      <w:tr>
        <w:trPr/>
        <w:tc>
          <w:p w14:paraId="00100010" w14:textId="00100011">
            <w:r>
              <w:t xml:space="preserve">Records</w:t>
            </w:r>
          </w:p>
        </w:tc>
        <w:tc>
          <w:p w14:paraId="00100012" w14:textId="00100013">
            <w:r>
              <w:t xml:space="preserve">2,000 EV models | 20 Brands | 76 Models | 6 Countries</w:t>
            </w:r>
          </w:p>
        </w:tc>
      </w:tr>
      <w:tr>
        <w:trPr/>
        <w:tc>
          <w:p w14:paraId="00100014" w14:textId="00100015">
            <w:r>
              <w:t xml:space="preserve">Year Range</w:t>
            </w:r>
          </w:p>
        </w:tc>
        <w:tc>
          <w:p w14:paraId="00100016" w14:textId="00100017">
            <w:r>
              <w:t xml:space="preserve">2020 - 2026</w:t>
            </w:r>
          </w:p>
        </w:tc>
      </w:tr>
      <w:tr>
        <w:trPr/>
        <w:tc>
          <w:p w14:paraId="00100018" w14:textId="00100019">
            <w:r>
              <w:t xml:space="preserve">Language</w:t>
            </w:r>
          </w:p>
        </w:tc>
        <w:tc>
          <w:p w14:paraId="0010001A" w14:textId="0010001B">
            <w:r>
              <w:t xml:space="preserve">Python 3.9+</w:t>
            </w:r>
          </w:p>
        </w:tc>
      </w:tr>
      <w:tr>
        <w:trPr/>
        <w:tc>
          <w:p w14:paraId="0010001C" w14:textId="0010001D">
            <w:r>
              <w:t xml:space="preserve">Technologies</w:t>
            </w:r>
          </w:p>
        </w:tc>
        <w:tc>
          <w:p w14:paraId="0010001E" w14:textId="0010001F">
            <w:r>
              <w:t xml:space="preserve">Pandas | NumPy | Plotly | Streamlit | Matplotlib | IBM BI</w:t>
            </w:r>
          </w:p>
        </w:tc>
      </w:tr>
      <w:tr>
        <w:trPr/>
        <w:tc>
          <w:p w14:paraId="00100020" w14:textId="00100021">
            <w:r>
              <w:t xml:space="preserve">Currency</w:t>
            </w:r>
          </w:p>
        </w:tc>
        <w:tc>
          <w:p w14:paraId="00100022" w14:textId="00100023">
            <w:r>
              <w:t xml:space="preserve">All monetary values in Rs INR (1 USD = Rs 83.50)</w:t>
            </w:r>
          </w:p>
        </w:tc>
      </w:tr>
      <w:tr>
        <w:trPr/>
        <w:tc>
          <w:p w14:paraId="00100024" w14:textId="00100025">
            <w:r>
              <w:t xml:space="preserve">Dashboard</w:t>
            </w:r>
          </w:p>
        </w:tc>
        <w:tc>
          <w:p w14:paraId="00100026" w14:textId="00100027">
            <w:r>
              <w:t xml:space="preserve">Streamlit 8-tab interactive dashboard (app.py)</w:t>
            </w:r>
          </w:p>
        </w:tc>
      </w:tr>
      <w:tr>
        <w:trPr/>
        <w:tc>
          <w:p w14:paraId="00100028" w14:textId="00100029">
            <w:r>
              <w:t xml:space="preserve">BI Exports</w:t>
            </w:r>
          </w:p>
        </w:tc>
        <w:tc>
          <w:p w14:paraId="0010002A" w14:textId="0010002B">
            <w:r>
              <w:t xml:space="preserve">13 IBM BI-ready CSV files in output/ folder</w:t>
            </w:r>
          </w:p>
        </w:tc>
      </w:tr>
    </w:tbl>
    <w:p w14:paraId="0010002C" w14:textId="0010002D">
      <w:pPr>
        <w:pStyle w:val="Normal"/>
        <w:spacing w:after="720"/>
      </w:pPr>
      <w:r>
        <w:rPr/>
        <w:t xml:space="preserve"/>
      </w:r>
    </w:p>
    <w:p w14:paraId="0010002E" w14:textId="0010002F">
      <w:pPr>
        <w:pStyle w:val="Normal"/>
        <w:spacing w:after="80"/>
        <w:jc w:val="center"/>
      </w:pPr>
      <w:r>
        <w:rPr>
          <w:color w:val="666666"/>
          <w:sz w:val="22"/>
        </w:rPr>
        <w:t xml:space="preserve">All monetary values expressed in Indian Rupees (INR) | Exchange Rate: 1 USD = Rs 83.50</w:t>
      </w:r>
    </w:p>
    <w:p w14:paraId="00100030" w14:textId="00100031">
      <w:pPr>
        <w:pStyle w:val="Normal"/>
        <w:spacing w:after="80"/>
        <w:jc w:val="center"/>
      </w:pPr>
      <w:r>
        <w:rPr>
          <w:color w:val="666666"/>
          <w:sz w:val="22"/>
        </w:rPr>
        <w:t xml:space="preserve">Dataset: ev_market_2026.csv  |  2,000 Records  |  20 Brands  |  6 Countries  |  Model Years 2020-2026</w:t>
      </w:r>
    </w:p>
    <w:p w14:paraId="00100032" w14:textId="00100033">
      <w:pPr>
        <w:pStyle w:val="Normal"/>
        <w:spacing w:after="960"/>
        <w:jc w:val="center"/>
      </w:pPr>
      <w:r>
        <w:rPr>
          <w:color w:val="666666"/>
          <w:sz w:val="22"/>
        </w:rPr>
        <w:t xml:space="preserve">Tools: Python 3.9+  |  Pandas  |  NumPy  |  Plotly  |  Streamlit  |  IBM BI</w:t>
      </w:r>
    </w:p>
    <w:p w14:paraId="00100034" w14:textId="00100035">
      <w:pPr>
        <w:pStyle w:val="Heading1"/>
        <w:spacing w:before="360" w:after="200"/>
      </w:pPr>
      <w:r>
        <w:rPr>
          <w:b/>
          <w:color w:val="0D1B2A"/>
          <w:sz w:val="36"/>
        </w:rPr>
        <w:t xml:space="preserve">1. Executive Summary</w:t>
      </w:r>
    </w:p>
    <w:p w14:paraId="00100036" w14:textId="00100037">
      <w:pPr>
        <w:pStyle w:val="Normal"/>
        <w:spacing w:after="160"/>
      </w:pPr>
      <w:r>
        <w:rPr>
          <w:sz w:val="22"/>
        </w:rPr>
        <w:t xml:space="preserve">This project delivers a complete end-to-end data analytics solution for the EV Market 2026 dataset. The pipeline covers data ingestion, flexible column mapping, automated cleaning, USD-to-INR currency conversion, enrichment with derived KPI metrics, exploratory data analysis (EDA), and an interactive 8-tab Streamlit dashboard — all monetary values expressed exclusively in Indian Rupees (Rs INR).</w:t>
      </w:r>
    </w:p>
    <w:p w14:paraId="00100038" w14:textId="00100039">
      <w:pPr>
        <w:pStyle w:val="Normal"/>
        <w:spacing w:after="160"/>
      </w:pPr>
      <w:r>
        <w:rPr>
          <w:sz w:val="22"/>
        </w:rPr>
        <w:t xml:space="preserve">The dataset contains 2,000 EV records spanning 20 brands, 76 models, 6 countries of origin, and model years 2020 to 2026. The project answers 8 core business questions covering sales trends, price-value relationships, battery and charging technology, performance benchmarking, and customer/safety analysis.</w:t>
      </w:r>
    </w:p>
    <w:p w14:paraId="0010003A" w14:textId="0010003B">
      <w:pPr>
        <w:pStyle w:val="Normal"/>
        <w:spacing w:after="280"/>
      </w:pPr>
      <w:r>
        <w:rPr>
          <w:sz w:val="22"/>
        </w:rPr>
        <w:t xml:space="preserve">Key finding: Tesla dominates global EV sales with 101.5 million units (39.1% share). Budget EVs offer 2.67x better value per rupee than Luxury segment. Average EV price is Rs 65.86 Lakhs. Average efficiency is 3.51 miles per kWh across all 2,000 records.</w:t>
      </w:r>
    </w:p>
    <w:p w14:paraId="0010003C" w14:textId="0010003D">
      <w:pPr>
        <w:pStyle w:val="Heading1"/>
        <w:spacing w:before="280" w:after="200"/>
      </w:pPr>
      <w:r>
        <w:rPr>
          <w:b/>
          <w:color w:val="0D1B2A"/>
          <w:sz w:val="36"/>
        </w:rPr>
        <w:t xml:space="preserve">2. Dataset Overview</w:t>
      </w:r>
    </w:p>
    <w:p w14:paraId="0010003E" w14:textId="0010003F">
      <w:pPr>
        <w:pStyle w:val="Normal"/>
        <w:spacing w:after="200"/>
      </w:pPr>
      <w:r>
        <w:rPr>
          <w:sz w:val="22"/>
        </w:rPr>
        <w:t xml:space="preserve">The ev_market_2026.csv dataset contains comprehensive information on global electric vehicles, covering 2,000 records across 24 columns. It spans 20 manufacturers from 6 countries across model years 2020-2026.</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0" w14:textId="00100041">
            <w:r>
              <w:t xml:space="preserve">Column Name</w:t>
            </w:r>
          </w:p>
        </w:tc>
        <w:tc>
          <w:p w14:paraId="00100042" w14:textId="00100043">
            <w:r>
              <w:t xml:space="preserve">Data Type</w:t>
            </w:r>
          </w:p>
        </w:tc>
        <w:tc>
          <w:p w14:paraId="00100044" w14:textId="00100045">
            <w:r>
              <w:t xml:space="preserve">Description</w:t>
            </w:r>
          </w:p>
        </w:tc>
      </w:tr>
      <w:tr>
        <w:trPr/>
        <w:tc>
          <w:p w14:paraId="00100046" w14:textId="00100047">
            <w:r>
              <w:t xml:space="preserve">brand</w:t>
            </w:r>
          </w:p>
        </w:tc>
        <w:tc>
          <w:p w14:paraId="00100048" w14:textId="00100049">
            <w:r>
              <w:t xml:space="preserve">String</w:t>
            </w:r>
          </w:p>
        </w:tc>
        <w:tc>
          <w:p w14:paraId="0010004A" w14:textId="0010004B">
            <w:r>
              <w:t xml:space="preserve">Vehicle manufacturer (20 unique brands)</w:t>
            </w:r>
          </w:p>
        </w:tc>
      </w:tr>
      <w:tr>
        <w:trPr/>
        <w:tc>
          <w:p w14:paraId="0010004C" w14:textId="0010004D">
            <w:r>
              <w:t xml:space="preserve">model</w:t>
            </w:r>
          </w:p>
        </w:tc>
        <w:tc>
          <w:p w14:paraId="0010004E" w14:textId="0010004F">
            <w:r>
              <w:t xml:space="preserve">String</w:t>
            </w:r>
          </w:p>
        </w:tc>
        <w:tc>
          <w:p w14:paraId="00100050" w14:textId="00100051">
            <w:r>
              <w:t xml:space="preserve">EV model name (76 unique models)</w:t>
            </w:r>
          </w:p>
        </w:tc>
      </w:tr>
      <w:tr>
        <w:trPr/>
        <w:tc>
          <w:p w14:paraId="00100052" w14:textId="00100053">
            <w:r>
              <w:t xml:space="preserve">year</w:t>
            </w:r>
          </w:p>
        </w:tc>
        <w:tc>
          <w:p w14:paraId="00100054" w14:textId="00100055">
            <w:r>
              <w:t xml:space="preserve">Integer</w:t>
            </w:r>
          </w:p>
        </w:tc>
        <w:tc>
          <w:p w14:paraId="00100056" w14:textId="00100057">
            <w:r>
              <w:t xml:space="preserve">Model year (2020-2026)</w:t>
            </w:r>
          </w:p>
        </w:tc>
      </w:tr>
      <w:tr>
        <w:trPr/>
        <w:tc>
          <w:p w14:paraId="00100058" w14:textId="00100059">
            <w:r>
              <w:t xml:space="preserve">price_usd</w:t>
            </w:r>
          </w:p>
        </w:tc>
        <w:tc>
          <w:p w14:paraId="0010005A" w14:textId="0010005B">
            <w:r>
              <w:t xml:space="preserve">Float</w:t>
            </w:r>
          </w:p>
        </w:tc>
        <w:tc>
          <w:p w14:paraId="0010005C" w14:textId="0010005D">
            <w:r>
              <w:t xml:space="preserve">Original price in USD ($13,697 - $225,263)</w:t>
            </w:r>
          </w:p>
        </w:tc>
      </w:tr>
      <w:tr>
        <w:trPr/>
        <w:tc>
          <w:p w14:paraId="0010005E" w14:textId="0010005F">
            <w:r>
              <w:t xml:space="preserve">price_inr (derived)</w:t>
            </w:r>
          </w:p>
        </w:tc>
        <w:tc>
          <w:p w14:paraId="00100060" w14:textId="00100061">
            <w:r>
              <w:t xml:space="preserve">Float</w:t>
            </w:r>
          </w:p>
        </w:tc>
        <w:tc>
          <w:p w14:paraId="00100062" w14:textId="00100063">
            <w:r>
              <w:t xml:space="preserve">Price in INR (Rs 13.7L - Rs 225.3L @ 83.50)</w:t>
            </w:r>
          </w:p>
        </w:tc>
      </w:tr>
      <w:tr>
        <w:trPr/>
        <w:tc>
          <w:p w14:paraId="00100064" w14:textId="00100065">
            <w:r>
              <w:t xml:space="preserve">battery_capacity_kwh</w:t>
            </w:r>
          </w:p>
        </w:tc>
        <w:tc>
          <w:p w14:paraId="00100066" w14:textId="00100067">
            <w:r>
              <w:t xml:space="preserve">Float</w:t>
            </w:r>
          </w:p>
        </w:tc>
        <w:tc>
          <w:p w14:paraId="00100068" w14:textId="00100069">
            <w:r>
              <w:t xml:space="preserve">Battery capacity in kWh (40.6 - 118.7 kWh)</w:t>
            </w:r>
          </w:p>
        </w:tc>
      </w:tr>
      <w:tr>
        <w:trPr/>
        <w:tc>
          <w:p w14:paraId="0010006A" w14:textId="0010006B">
            <w:r>
              <w:t xml:space="preserve">range_miles</w:t>
            </w:r>
          </w:p>
        </w:tc>
        <w:tc>
          <w:p w14:paraId="0010006C" w14:textId="0010006D">
            <w:r>
              <w:t xml:space="preserve">Float</w:t>
            </w:r>
          </w:p>
        </w:tc>
        <w:tc>
          <w:p w14:paraId="0010006E" w14:textId="0010006F">
            <w:r>
              <w:t xml:space="preserve">Driving range in miles (150 - 417 miles)</w:t>
            </w:r>
          </w:p>
        </w:tc>
      </w:tr>
      <w:tr>
        <w:trPr/>
        <w:tc>
          <w:p w14:paraId="00100070" w14:textId="00100071">
            <w:r>
              <w:t xml:space="preserve">charging_speed_kw</w:t>
            </w:r>
          </w:p>
        </w:tc>
        <w:tc>
          <w:p w14:paraId="00100072" w14:textId="00100073">
            <w:r>
              <w:t xml:space="preserve">Float</w:t>
            </w:r>
          </w:p>
        </w:tc>
        <w:tc>
          <w:p w14:paraId="00100074" w14:textId="00100075">
            <w:r>
              <w:t xml:space="preserve">Max charging speed in kW (51 - 350 kW)</w:t>
            </w:r>
          </w:p>
        </w:tc>
      </w:tr>
      <w:tr>
        <w:trPr/>
        <w:tc>
          <w:p w14:paraId="00100076" w14:textId="00100077">
            <w:r>
              <w:t xml:space="preserve">horsepower</w:t>
            </w:r>
          </w:p>
        </w:tc>
        <w:tc>
          <w:p w14:paraId="00100078" w14:textId="00100079">
            <w:r>
              <w:t xml:space="preserve">Float</w:t>
            </w:r>
          </w:p>
        </w:tc>
        <w:tc>
          <w:p w14:paraId="0010007A" w14:textId="0010007B">
            <w:r>
              <w:t xml:space="preserve">Motor power in HP (150 - 1000 HP)</w:t>
            </w:r>
          </w:p>
        </w:tc>
      </w:tr>
      <w:tr>
        <w:trPr/>
        <w:tc>
          <w:p w14:paraId="0010007C" w14:textId="0010007D">
            <w:r>
              <w:t xml:space="preserve">safety_rating / customer_rating</w:t>
            </w:r>
          </w:p>
        </w:tc>
        <w:tc>
          <w:p w14:paraId="0010007E" w14:textId="0010007F">
            <w:r>
              <w:t xml:space="preserve">Integer / Float</w:t>
            </w:r>
          </w:p>
        </w:tc>
        <w:tc>
          <w:p w14:paraId="00100080" w14:textId="00100081">
            <w:r>
              <w:t xml:space="preserve">Safety stars (3-5) and customer score (0-10)</w:t>
            </w:r>
          </w:p>
        </w:tc>
      </w:tr>
      <w:tr>
        <w:trPr/>
        <w:tc>
          <w:p w14:paraId="00100082" w14:textId="00100083">
            <w:r>
              <w:t xml:space="preserve">market_segment</w:t>
            </w:r>
          </w:p>
        </w:tc>
        <w:tc>
          <w:p w14:paraId="00100084" w14:textId="00100085">
            <w:r>
              <w:t xml:space="preserve">String</w:t>
            </w:r>
          </w:p>
        </w:tc>
        <w:tc>
          <w:p w14:paraId="00100086" w14:textId="00100087">
            <w:r>
              <w:t xml:space="preserve">Budget | Mid-range | Premium | Luxury</w:t>
            </w:r>
          </w:p>
        </w:tc>
      </w:tr>
    </w:tbl>
    <w:p w14:paraId="00100088" w14:textId="00100089">
      <w:pPr>
        <w:pStyle w:val="Heading2"/>
        <w:spacing w:before="240" w:after="160"/>
      </w:pPr>
      <w:r>
        <w:rPr>
          <w:b/>
          <w:sz w:val="28"/>
        </w:rPr>
        <w:t xml:space="preserve">2.1 Dataset Statistics</w:t>
      </w:r>
    </w:p>
    <w:tbl>
      <w:tblPr>
        <w:tblW w:w="3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A" w14:textId="0010008B">
            <w:r>
              <w:t xml:space="preserve">Metric</w:t>
            </w:r>
          </w:p>
        </w:tc>
        <w:tc>
          <w:p w14:paraId="0010008C" w14:textId="0010008D">
            <w:r>
              <w:t xml:space="preserve">Value</w:t>
            </w:r>
          </w:p>
        </w:tc>
      </w:tr>
      <w:tr>
        <w:trPr/>
        <w:tc>
          <w:p w14:paraId="0010008E" w14:textId="0010008F">
            <w:r>
              <w:t xml:space="preserve">Total Records</w:t>
            </w:r>
          </w:p>
        </w:tc>
        <w:tc>
          <w:p w14:paraId="00100090" w14:textId="00100091">
            <w:r>
              <w:t xml:space="preserve">2,000</w:t>
            </w:r>
          </w:p>
        </w:tc>
      </w:tr>
      <w:tr>
        <w:trPr/>
        <w:tc>
          <w:p w14:paraId="00100092" w14:textId="00100093">
            <w:r>
              <w:t xml:space="preserve">Columns</w:t>
            </w:r>
          </w:p>
        </w:tc>
        <w:tc>
          <w:p w14:paraId="00100094" w14:textId="00100095">
            <w:r>
              <w:t xml:space="preserve">24 (raw) + 5 derived = 29 total</w:t>
            </w:r>
          </w:p>
        </w:tc>
      </w:tr>
      <w:tr>
        <w:trPr/>
        <w:tc>
          <w:p w14:paraId="00100096" w14:textId="00100097">
            <w:r>
              <w:t xml:space="preserve">Unique Brands</w:t>
            </w:r>
          </w:p>
        </w:tc>
        <w:tc>
          <w:p w14:paraId="00100098" w14:textId="00100099">
            <w:r>
              <w:t xml:space="preserve">20</w:t>
            </w:r>
          </w:p>
        </w:tc>
      </w:tr>
      <w:tr>
        <w:trPr/>
        <w:tc>
          <w:p w14:paraId="0010009A" w14:textId="0010009B">
            <w:r>
              <w:t xml:space="preserve">Unique Models</w:t>
            </w:r>
          </w:p>
        </w:tc>
        <w:tc>
          <w:p w14:paraId="0010009C" w14:textId="0010009D">
            <w:r>
              <w:t xml:space="preserve">76</w:t>
            </w:r>
          </w:p>
        </w:tc>
      </w:tr>
      <w:tr>
        <w:trPr/>
        <w:tc>
          <w:p w14:paraId="0010009E" w14:textId="0010009F">
            <w:r>
              <w:t xml:space="preserve">Countries</w:t>
            </w:r>
          </w:p>
        </w:tc>
        <w:tc>
          <w:p w14:paraId="001000A0" w14:textId="001000A1">
            <w:r>
              <w:t xml:space="preserve">6 (US, China, Germany, South Korea, Japan, Sweden)</w:t>
            </w:r>
          </w:p>
        </w:tc>
      </w:tr>
      <w:tr>
        <w:trPr/>
        <w:tc>
          <w:p w14:paraId="001000A2" w14:textId="001000A3">
            <w:r>
              <w:t xml:space="preserve">Year Range</w:t>
            </w:r>
          </w:p>
        </w:tc>
        <w:tc>
          <w:p w14:paraId="001000A4" w14:textId="001000A5">
            <w:r>
              <w:t xml:space="preserve">2020 - 2026</w:t>
            </w:r>
          </w:p>
        </w:tc>
      </w:tr>
      <w:tr>
        <w:trPr/>
        <w:tc>
          <w:p w14:paraId="001000A6" w14:textId="001000A7">
            <w:r>
              <w:t xml:space="preserve">Market Segments</w:t>
            </w:r>
          </w:p>
        </w:tc>
        <w:tc>
          <w:p w14:paraId="001000A8" w14:textId="001000A9">
            <w:r>
              <w:t xml:space="preserve">Budget (151) | Mid-range (642) | Premium (712) | Luxury (495)</w:t>
            </w:r>
          </w:p>
        </w:tc>
      </w:tr>
      <w:tr>
        <w:trPr/>
        <w:tc>
          <w:p w14:paraId="001000AA" w14:textId="001000AB">
            <w:r>
              <w:t xml:space="preserve">Data Quality</w:t>
            </w:r>
          </w:p>
        </w:tc>
        <w:tc>
          <w:p w14:paraId="001000AC" w14:textId="001000AD">
            <w:r>
              <w:t xml:space="preserve">0 duplicates | 0 null critical fields | 0 invalid rows</w:t>
            </w:r>
          </w:p>
        </w:tc>
      </w:tr>
    </w:tbl>
    <w:p w14:paraId="001000AE" w14:textId="001000AF">
      <w:pPr>
        <w:pStyle w:val="Heading1"/>
        <w:spacing w:before="320" w:after="200"/>
      </w:pPr>
      <w:r>
        <w:rPr>
          <w:b/>
          <w:color w:val="0D1B2A"/>
          <w:sz w:val="36"/>
        </w:rPr>
        <w:t xml:space="preserve">3. Technical Architecture</w:t>
      </w:r>
    </w:p>
    <w:p w14:paraId="001000B0" w14:textId="001000B1">
      <w:pPr>
        <w:pStyle w:val="Normal"/>
        <w:spacing w:after="160"/>
      </w:pPr>
      <w:r>
        <w:rPr>
          <w:sz w:val="22"/>
        </w:rPr>
        <w:t xml:space="preserve">The project follows a 6-step analytics pipeline: Load, Clean, Convert (USD to INR), Enrich (derived metrics), Analyse (EDA), and Export (IBM BI-ready CSVs). The pipeline is implemented in ev_market_analysis.py with a main() entry point. The Streamlit dashboard (app.py) imports directly from the pipeline module.</w:t>
      </w:r>
    </w:p>
    <w:p w14:paraId="001000B2" w14:textId="001000B3">
      <w:pPr>
        <w:pStyle w:val="Normal"/>
        <w:spacing w:after="200"/>
      </w:pPr>
      <w:r>
        <w:rPr>
          <w:color w:val="333333"/>
          <w:sz w:val="20"/>
        </w:rPr>
        <w:t xml:space="preserve">Pipeline Flow:   ev_market_2026.csv  -&gt;  load_and_map()  -&gt;  clean_data()  -&gt;  add_inr_prices()  -&gt;  add_metrics()  -&gt;  run_eda()  -&gt;  export_csvs()  -&gt;  app.py (Streamlit)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c>
          <w:p w14:paraId="001000B4" w14:textId="001000B5"/>
        </w:tc>
        <w:tc>
          <w:p w14:paraId="001000B6" w14:textId="001000B7"/>
        </w:tc>
        <w:tc>
          <w:p w14:paraId="001000B8" w14:textId="001000B9"/>
        </w:tc>
      </w:tr>
      <w:tr>
        <w:tc>
          <w:p w14:paraId="001000BA" w14:textId="001000BB"/>
        </w:tc>
        <w:tc>
          <w:p w14:paraId="001000BC" w14:textId="001000BD"/>
        </w:tc>
        <w:tc>
          <w:p w14:paraId="001000BE" w14:textId="001000BF"/>
        </w:tc>
      </w:tr>
      <w:tr>
        <w:tc>
          <w:p w14:paraId="001000C0" w14:textId="001000C1"/>
        </w:tc>
        <w:tc>
          <w:p w14:paraId="001000C2" w14:textId="001000C3"/>
        </w:tc>
        <w:tc>
          <w:p w14:paraId="001000C4" w14:textId="001000C5"/>
        </w:tc>
      </w:tr>
      <w:tr>
        <w:tc>
          <w:p w14:paraId="001000C6" w14:textId="001000C7"/>
        </w:tc>
        <w:tc>
          <w:p w14:paraId="001000C8" w14:textId="001000C9"/>
        </w:tc>
        <w:tc>
          <w:p w14:paraId="001000CA" w14:textId="001000CB"/>
        </w:tc>
      </w:tr>
      <w:tr>
        <w:tc>
          <w:p w14:paraId="001000CC" w14:textId="001000CD"/>
        </w:tc>
        <w:tc>
          <w:p w14:paraId="001000CE" w14:textId="001000CF"/>
        </w:tc>
        <w:tc>
          <w:p w14:paraId="001000D0" w14:textId="001000D1"/>
        </w:tc>
      </w:tr>
      <w:tr>
        <w:tc>
          <w:p w14:paraId="001000D2" w14:textId="001000D3"/>
        </w:tc>
        <w:tc>
          <w:p w14:paraId="001000D4" w14:textId="001000D5"/>
        </w:tc>
        <w:tc>
          <w:p w14:paraId="001000D6" w14:textId="001000D7"/>
        </w:tc>
      </w:tr>
      <w:tr>
        <w:tc>
          <w:p w14:paraId="001000D8" w14:textId="001000D9"/>
        </w:tc>
        <w:tc>
          <w:p w14:paraId="001000DA" w14:textId="001000DB"/>
        </w:tc>
        <w:tc>
          <w:p w14:paraId="001000DC" w14:textId="001000DD"/>
        </w:tc>
      </w:tr>
      <w:tr>
        <w:tc>
          <w:p w14:paraId="001000DE" w14:textId="001000DF"/>
        </w:tc>
        <w:tc>
          <w:p w14:paraId="001000E0" w14:textId="001000E1"/>
        </w:tc>
        <w:tc>
          <w:p w14:paraId="001000E2" w14:textId="001000E3"/>
        </w:tc>
      </w:tr>
    </w:tbl>
    <w:p w14:paraId="001000E4" w14:textId="001000E5">
      <w:pPr>
        <w:pStyle w:val="Heading1"/>
        <w:spacing w:before="320" w:after="200"/>
      </w:pPr>
      <w:r>
        <w:rPr>
          <w:b/>
          <w:color w:val="0D1B2A"/>
          <w:sz w:val="36"/>
        </w:rPr>
        <w:t xml:space="preserve">4. Flexible Column Mapping</w:t>
      </w:r>
    </w:p>
    <w:p w14:paraId="001000E6" w14:textId="001000E7">
      <w:pPr>
        <w:pStyle w:val="Normal"/>
        <w:spacing w:after="160"/>
      </w:pPr>
      <w:r>
        <w:rPr>
          <w:sz w:val="22"/>
        </w:rPr>
        <w:t xml:space="preserve">The pipeline accepts datasets with varying column names. Every header is normalised to lowercase with underscores, then matched against the COLUMN_ALIASES dictionary. Missing required columns are logged as warnings; extra columns are kept as-is.</w:t>
      </w:r>
    </w:p>
    <w:tbl>
      <w:tblPr>
        <w:tblW w:w="4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E8" w14:textId="001000E9">
            <w:r>
              <w:t xml:space="preserve">Canonical Column</w:t>
            </w:r>
          </w:p>
        </w:tc>
        <w:tc>
          <w:p w14:paraId="001000EA" w14:textId="001000EB">
            <w:r>
              <w:t xml:space="preserve">Accepted Variations</w:t>
            </w:r>
          </w:p>
        </w:tc>
      </w:tr>
      <w:tr>
        <w:trPr/>
        <w:tc>
          <w:p w14:paraId="001000EC" w14:textId="001000ED">
            <w:r>
              <w:t xml:space="preserve">price_usd</w:t>
            </w:r>
          </w:p>
        </w:tc>
        <w:tc>
          <w:p w14:paraId="001000EE" w14:textId="001000EF">
            <w:r>
              <w:t xml:space="preserve">price | price_usd | Price USD | vehicle_price | msrp | cost_usd | price_$</w:t>
            </w:r>
          </w:p>
        </w:tc>
      </w:tr>
      <w:tr>
        <w:trPr/>
        <w:tc>
          <w:p w14:paraId="001000F0" w14:textId="001000F1">
            <w:r>
              <w:t xml:space="preserve">brand</w:t>
            </w:r>
          </w:p>
        </w:tc>
        <w:tc>
          <w:p w14:paraId="001000F2" w14:textId="001000F3">
            <w:r>
              <w:t xml:space="preserve">brand | make | manufacturer</w:t>
            </w:r>
          </w:p>
        </w:tc>
      </w:tr>
      <w:tr>
        <w:trPr/>
        <w:tc>
          <w:p w14:paraId="001000F4" w14:textId="001000F5">
            <w:r>
              <w:t xml:space="preserve">battery_capacity_kwh</w:t>
            </w:r>
          </w:p>
        </w:tc>
        <w:tc>
          <w:p w14:paraId="001000F6" w14:textId="001000F7">
            <w:r>
              <w:t xml:space="preserve">battery | battery_kwh | battery_capacity | kwh</w:t>
            </w:r>
          </w:p>
        </w:tc>
      </w:tr>
      <w:tr>
        <w:trPr/>
        <w:tc>
          <w:p w14:paraId="001000F8" w14:textId="001000F9">
            <w:r>
              <w:t xml:space="preserve">range_miles</w:t>
            </w:r>
          </w:p>
        </w:tc>
        <w:tc>
          <w:p w14:paraId="001000FA" w14:textId="001000FB">
            <w:r>
              <w:t xml:space="preserve">range | range_mi | driving_range</w:t>
            </w:r>
          </w:p>
        </w:tc>
      </w:tr>
      <w:tr>
        <w:trPr/>
        <w:tc>
          <w:p w14:paraId="001000FC" w14:textId="001000FD">
            <w:r>
              <w:t xml:space="preserve">country_of_origin</w:t>
            </w:r>
          </w:p>
        </w:tc>
        <w:tc>
          <w:p w14:paraId="001000FE" w14:textId="001000FF">
            <w:r>
              <w:t xml:space="preserve">country | origin | made_in</w:t>
            </w:r>
          </w:p>
        </w:tc>
      </w:tr>
      <w:tr>
        <w:trPr/>
        <w:tc>
          <w:p w14:paraId="00100100" w14:textId="00100101">
            <w:r>
              <w:t xml:space="preserve">annual_sales_units</w:t>
            </w:r>
          </w:p>
        </w:tc>
        <w:tc>
          <w:p w14:paraId="00100102" w14:textId="00100103">
            <w:r>
              <w:t xml:space="preserve">sales | annual_sales | units_sold | sales_volume</w:t>
            </w:r>
          </w:p>
        </w:tc>
      </w:tr>
    </w:tbl>
    <w:p w14:paraId="00100104" w14:textId="00100105">
      <w:pPr>
        <w:pStyle w:val="Heading1"/>
        <w:spacing w:before="320" w:after="200"/>
      </w:pPr>
      <w:r>
        <w:rPr>
          <w:b/>
          <w:color w:val="0D1B2A"/>
          <w:sz w:val="36"/>
        </w:rPr>
        <w:t xml:space="preserve">5. Data Cleaning Report</w:t>
      </w:r>
    </w:p>
    <w:p w14:paraId="00100106" w14:textId="00100107">
      <w:pPr>
        <w:pStyle w:val="Normal"/>
        <w:spacing w:after="160"/>
      </w:pPr>
      <w:r>
        <w:rPr>
          <w:sz w:val="22"/>
        </w:rPr>
        <w:t xml:space="preserve">The clean_data() function applies 6 sequential steps. The ev_market_2026.csv dataset is high quality — 0 rows were removed and all 2,000 records were retained after cleaning.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8" w14:textId="00100109">
            <w:r>
              <w:t xml:space="preserve">Step</w:t>
            </w:r>
          </w:p>
        </w:tc>
        <w:tc>
          <w:p w14:paraId="0010010A" w14:textId="0010010B">
            <w:r>
              <w:t xml:space="preserve">Rule Applied</w:t>
            </w:r>
          </w:p>
        </w:tc>
        <w:tc>
          <w:p w14:paraId="0010010C" w14:textId="0010010D">
            <w:r>
              <w:t xml:space="preserve">Action</w:t>
            </w:r>
          </w:p>
        </w:tc>
      </w:tr>
      <w:tr>
        <w:trPr/>
        <w:tc>
          <w:p w14:paraId="0010010E" w14:textId="0010010F">
            <w:r>
              <w:t xml:space="preserve">1. Duplicate Check</w:t>
            </w:r>
          </w:p>
        </w:tc>
        <w:tc>
          <w:p w14:paraId="00100110" w14:textId="00100111">
            <w:r>
              <w:t xml:space="preserve">Full row match</w:t>
            </w:r>
          </w:p>
        </w:tc>
        <w:tc>
          <w:p w14:paraId="00100112" w14:textId="00100113">
            <w:r>
              <w:t xml:space="preserve">drop_duplicates() — 0 found</w:t>
            </w:r>
          </w:p>
        </w:tc>
      </w:tr>
      <w:tr>
        <w:trPr/>
        <w:tc>
          <w:p w14:paraId="00100114" w14:textId="00100115">
            <w:r>
              <w:t xml:space="preserve">2. Type Coercion</w:t>
            </w:r>
          </w:p>
        </w:tc>
        <w:tc>
          <w:p w14:paraId="00100116" w14:textId="00100117">
            <w:r>
              <w:t xml:space="preserve">All numeric columns</w:t>
            </w:r>
          </w:p>
        </w:tc>
        <w:tc>
          <w:p w14:paraId="00100118" w14:textId="00100119">
            <w:r>
              <w:t xml:space="preserve">pd.to_numeric(errors='coerce')</w:t>
            </w:r>
          </w:p>
        </w:tc>
      </w:tr>
      <w:tr>
        <w:trPr/>
        <w:tc>
          <w:p w14:paraId="0010011A" w14:textId="0010011B">
            <w:r>
              <w:t xml:space="preserve">3. Invalid Values</w:t>
            </w:r>
          </w:p>
        </w:tc>
        <w:tc>
          <w:p w14:paraId="0010011C" w14:textId="0010011D">
            <w:r>
              <w:t xml:space="preserve">price_usd&lt;=0 or battery&lt;=0</w:t>
            </w:r>
          </w:p>
        </w:tc>
        <w:tc>
          <w:p w14:paraId="0010011E" w14:textId="0010011F">
            <w:r>
              <w:t xml:space="preserve">Rows removed — 0 found</w:t>
            </w:r>
          </w:p>
        </w:tc>
      </w:tr>
      <w:tr>
        <w:trPr/>
        <w:tc>
          <w:p w14:paraId="00100120" w14:textId="00100121">
            <w:r>
              <w:t xml:space="preserve">4. Year Range</w:t>
            </w:r>
          </w:p>
        </w:tc>
        <w:tc>
          <w:p w14:paraId="00100122" w14:textId="00100123">
            <w:r>
              <w:t xml:space="preserve">Outside 1990-2030</w:t>
            </w:r>
          </w:p>
        </w:tc>
        <w:tc>
          <w:p w14:paraId="00100124" w14:textId="00100125">
            <w:r>
              <w:t xml:space="preserve">Rows removed — 0 found</w:t>
            </w:r>
          </w:p>
        </w:tc>
      </w:tr>
      <w:tr>
        <w:trPr/>
        <w:tc>
          <w:p w14:paraId="00100126" w14:textId="00100127">
            <w:r>
              <w:t xml:space="preserve">5. Null Imputation</w:t>
            </w:r>
          </w:p>
        </w:tc>
        <w:tc>
          <w:p w14:paraId="00100128" w14:textId="00100129">
            <w:r>
              <w:t xml:space="preserve">Numeric NaN values</w:t>
            </w:r>
          </w:p>
        </w:tc>
        <w:tc>
          <w:p w14:paraId="0010012A" w14:textId="0010012B">
            <w:r>
              <w:t xml:space="preserve">Filled with column median</w:t>
            </w:r>
          </w:p>
        </w:tc>
      </w:tr>
      <w:tr>
        <w:trPr/>
        <w:tc>
          <w:p w14:paraId="0010012C" w14:textId="0010012D">
            <w:r>
              <w:t xml:space="preserve">6. Categorical Nulls</w:t>
            </w:r>
          </w:p>
        </w:tc>
        <w:tc>
          <w:p w14:paraId="0010012E" w14:textId="0010012F">
            <w:r>
              <w:t xml:space="preserve">String NaN values</w:t>
            </w:r>
          </w:p>
        </w:tc>
        <w:tc>
          <w:p w14:paraId="00100130" w14:textId="00100131">
            <w:r>
              <w:t xml:space="preserve">Filled with column mode</w:t>
            </w:r>
          </w:p>
        </w:tc>
      </w:tr>
    </w:tbl>
    <w:p w14:paraId="00100132" w14:textId="00100133">
      <w:pPr>
        <w:pStyle w:val="Heading2"/>
        <w:spacing w:before="240" w:after="160"/>
      </w:pPr>
      <w:r>
        <w:rPr>
          <w:b/>
          <w:sz w:val="28"/>
        </w:rPr>
        <w:t xml:space="preserve">5.1 Feature Engineering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4" w14:textId="00100135">
            <w:r>
              <w:t xml:space="preserve">New Column</w:t>
            </w:r>
          </w:p>
        </w:tc>
        <w:tc>
          <w:p w14:paraId="00100136" w14:textId="00100137">
            <w:r>
              <w:t xml:space="preserve">Formula</w:t>
            </w:r>
          </w:p>
        </w:tc>
        <w:tc>
          <w:p w14:paraId="00100138" w14:textId="00100139">
            <w:r>
              <w:t xml:space="preserve">Unit / Interpretation</w:t>
            </w:r>
          </w:p>
        </w:tc>
      </w:tr>
      <w:tr>
        <w:trPr/>
        <w:tc>
          <w:p w14:paraId="0010013A" w14:textId="0010013B">
            <w:r>
              <w:t xml:space="preserve">price_inr</w:t>
            </w:r>
          </w:p>
        </w:tc>
        <w:tc>
          <w:p w14:paraId="0010013C" w14:textId="0010013D">
            <w:r>
              <w:t xml:space="preserve">price_usd x 83.50</w:t>
            </w:r>
          </w:p>
        </w:tc>
        <w:tc>
          <w:p w14:paraId="0010013E" w14:textId="0010013F">
            <w:r>
              <w:t xml:space="preserve">Rs INR (never overwrites price_usd)</w:t>
            </w:r>
          </w:p>
        </w:tc>
      </w:tr>
      <w:tr>
        <w:trPr/>
        <w:tc>
          <w:p w14:paraId="00100140" w14:textId="00100141">
            <w:r>
              <w:t xml:space="preserve">price_per_kwh_inr</w:t>
            </w:r>
          </w:p>
        </w:tc>
        <w:tc>
          <w:p w14:paraId="00100142" w14:textId="00100143">
            <w:r>
              <w:t xml:space="preserve">price_inr / battery_kwh</w:t>
            </w:r>
          </w:p>
        </w:tc>
        <w:tc>
          <w:p w14:paraId="00100144" w14:textId="00100145">
            <w:r>
              <w:t xml:space="preserve">Rs per kWh — battery cost efficiency</w:t>
            </w:r>
          </w:p>
        </w:tc>
      </w:tr>
      <w:tr>
        <w:trPr/>
        <w:tc>
          <w:p w14:paraId="00100146" w14:textId="00100147">
            <w:r>
              <w:t xml:space="preserve">range_per_kwh</w:t>
            </w:r>
          </w:p>
        </w:tc>
        <w:tc>
          <w:p w14:paraId="00100148" w14:textId="00100149">
            <w:r>
              <w:t xml:space="preserve">range_miles / battery_kwh</w:t>
            </w:r>
          </w:p>
        </w:tc>
        <w:tc>
          <w:p w14:paraId="0010014A" w14:textId="0010014B">
            <w:r>
              <w:t xml:space="preserve">miles per kWh — energy efficiency</w:t>
            </w:r>
          </w:p>
        </w:tc>
      </w:tr>
      <w:tr>
        <w:trPr/>
        <w:tc>
          <w:p w14:paraId="0010014C" w14:textId="0010014D">
            <w:r>
              <w:t xml:space="preserve">range_per_10k_inr</w:t>
            </w:r>
          </w:p>
        </w:tc>
        <w:tc>
          <w:p w14:paraId="0010014E" w14:textId="0010014F">
            <w:r>
              <w:t xml:space="preserve">range_miles / (price_inr / 10000)</w:t>
            </w:r>
          </w:p>
        </w:tc>
        <w:tc>
          <w:p w14:paraId="00100150" w14:textId="00100151">
            <w:r>
              <w:t xml:space="preserve">miles per Rs 10,000 — value metric</w:t>
            </w:r>
          </w:p>
        </w:tc>
      </w:tr>
      <w:tr>
        <w:trPr/>
        <w:tc>
          <w:p w14:paraId="00100152" w14:textId="00100153">
            <w:r>
              <w:t xml:space="preserve">value_score</w:t>
            </w:r>
          </w:p>
        </w:tc>
        <w:tc>
          <w:p w14:paraId="00100154" w14:textId="00100155">
            <w:r>
              <w:t xml:space="preserve">(range_miles / price_inr) x 1,000,000</w:t>
            </w:r>
          </w:p>
        </w:tc>
        <w:tc>
          <w:p w14:paraId="00100156" w14:textId="00100157">
            <w:r>
              <w:t xml:space="preserve">Composite value indicator</w:t>
            </w:r>
          </w:p>
        </w:tc>
      </w:tr>
    </w:tbl>
    <w:p w14:paraId="00100158" w14:textId="00100159">
      <w:pPr>
        <w:pStyle w:val="Heading1"/>
        <w:spacing w:before="320" w:after="200"/>
      </w:pPr>
      <w:r>
        <w:rPr>
          <w:b/>
          <w:color w:val="0D1B2A"/>
          <w:sz w:val="36"/>
        </w:rPr>
        <w:t xml:space="preserve">6. Key Performance Indicators</w:t>
      </w:r>
    </w:p>
    <w:p w14:paraId="0010015A" w14:textId="0010015B">
      <w:pPr>
        <w:pStyle w:val="Normal"/>
        <w:spacing w:after="160"/>
      </w:pPr>
      <w:r>
        <w:rPr>
          <w:sz w:val="22"/>
        </w:rPr>
        <w:t xml:space="preserve">All KPIs are computed from actual dataset calculations. Exchange rate 1 USD = Rs 83.50 is configured as the USD_TO_INR constant in ev_market_analysis.py. No values are fabricated.</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5C" w14:textId="0010015D">
            <w:r>
              <w:t xml:space="preserve">KPI Metric</w:t>
            </w:r>
          </w:p>
        </w:tc>
        <w:tc>
          <w:p w14:paraId="0010015E" w14:textId="0010015F">
            <w:r>
              <w:t xml:space="preserve">Value (from dataset)</w:t>
            </w:r>
          </w:p>
        </w:tc>
      </w:tr>
      <w:tr>
        <w:trPr/>
        <w:tc>
          <w:p w14:paraId="00100160" w14:textId="00100161">
            <w:r>
              <w:t xml:space="preserve">Total Records</w:t>
            </w:r>
          </w:p>
        </w:tc>
        <w:tc>
          <w:p w14:paraId="00100162" w14:textId="00100163">
            <w:r>
              <w:t xml:space="preserve">2,000</w:t>
            </w:r>
          </w:p>
        </w:tc>
      </w:tr>
      <w:tr>
        <w:trPr/>
        <w:tc>
          <w:p w14:paraId="00100164" w14:textId="00100165">
            <w:r>
              <w:t xml:space="preserve">Total Annual Sales</w:t>
            </w:r>
          </w:p>
        </w:tc>
        <w:tc>
          <w:p w14:paraId="00100166" w14:textId="00100167">
            <w:r>
              <w:t xml:space="preserve">259,307,184 units</w:t>
            </w:r>
          </w:p>
        </w:tc>
      </w:tr>
      <w:tr>
        <w:trPr/>
        <w:tc>
          <w:p w14:paraId="00100168" w14:textId="00100169">
            <w:r>
              <w:t xml:space="preserve">Avg EV Price (INR)</w:t>
            </w:r>
          </w:p>
        </w:tc>
        <w:tc>
          <w:p w14:paraId="0010016A" w14:textId="0010016B">
            <w:r>
              <w:t xml:space="preserve">Rs 65.86 Lakhs</w:t>
            </w:r>
          </w:p>
        </w:tc>
      </w:tr>
      <w:tr>
        <w:trPr/>
        <w:tc>
          <w:p w14:paraId="0010016C" w14:textId="0010016D">
            <w:r>
              <w:t xml:space="preserve">Median EV Price (INR)</w:t>
            </w:r>
          </w:p>
        </w:tc>
        <w:tc>
          <w:p w14:paraId="0010016E" w14:textId="0010016F">
            <w:r>
              <w:t xml:space="preserve">Rs 60.97 Lakhs</w:t>
            </w:r>
          </w:p>
        </w:tc>
      </w:tr>
      <w:tr>
        <w:trPr/>
        <w:tc>
          <w:p w14:paraId="00100170" w14:textId="00100171">
            <w:r>
              <w:t xml:space="preserve">Min Price (INR)</w:t>
            </w:r>
          </w:p>
        </w:tc>
        <w:tc>
          <w:p w14:paraId="00100172" w14:textId="00100173">
            <w:r>
              <w:t xml:space="preserve">Rs 13.69 Lakhs (BYD Seagull)</w:t>
            </w:r>
          </w:p>
        </w:tc>
      </w:tr>
      <w:tr>
        <w:trPr/>
        <w:tc>
          <w:p w14:paraId="00100174" w14:textId="00100175">
            <w:r>
              <w:t xml:space="preserve">Max Price (INR)</w:t>
            </w:r>
          </w:p>
        </w:tc>
        <w:tc>
          <w:p w14:paraId="00100176" w14:textId="00100177">
            <w:r>
              <w:t xml:space="preserve">Rs 225.26 Lakhs (Mercedes EQG)</w:t>
            </w:r>
          </w:p>
        </w:tc>
      </w:tr>
      <w:tr>
        <w:trPr/>
        <w:tc>
          <w:p w14:paraId="00100178" w14:textId="00100179">
            <w:r>
              <w:t xml:space="preserve">Avg Battery Capacity</w:t>
            </w:r>
          </w:p>
        </w:tc>
        <w:tc>
          <w:p w14:paraId="0010017A" w14:textId="0010017B">
            <w:r>
              <w:t xml:space="preserve">74.7 kWh</w:t>
            </w:r>
          </w:p>
        </w:tc>
      </w:tr>
      <w:tr>
        <w:trPr/>
        <w:tc>
          <w:p w14:paraId="0010017C" w14:textId="0010017D">
            <w:r>
              <w:t xml:space="preserve">Avg Driving Range</w:t>
            </w:r>
          </w:p>
        </w:tc>
        <w:tc>
          <w:p w14:paraId="0010017E" w14:textId="0010017F">
            <w:r>
              <w:t xml:space="preserve">261.8 miles</w:t>
            </w:r>
          </w:p>
        </w:tc>
      </w:tr>
      <w:tr>
        <w:trPr/>
        <w:tc>
          <w:p w14:paraId="00100180" w14:textId="00100181">
            <w:r>
              <w:t xml:space="preserve">Avg Energy Efficiency</w:t>
            </w:r>
          </w:p>
        </w:tc>
        <w:tc>
          <w:p w14:paraId="00100182" w14:textId="00100183">
            <w:r>
              <w:t xml:space="preserve">3.51 miles per kWh</w:t>
            </w:r>
          </w:p>
        </w:tc>
      </w:tr>
      <w:tr>
        <w:trPr/>
        <w:tc>
          <w:p w14:paraId="00100184" w14:textId="00100185">
            <w:r>
              <w:t xml:space="preserve">Avg Charging Speed</w:t>
            </w:r>
          </w:p>
        </w:tc>
        <w:tc>
          <w:p w14:paraId="00100186" w14:textId="00100187">
            <w:r>
              <w:t xml:space="preserve">155.2 kW  |  Max: 350 kW</w:t>
            </w:r>
          </w:p>
        </w:tc>
      </w:tr>
      <w:tr>
        <w:trPr/>
        <w:tc>
          <w:p w14:paraId="00100188" w14:textId="00100189">
            <w:r>
              <w:t xml:space="preserve">Avg Horsepower</w:t>
            </w:r>
          </w:p>
        </w:tc>
        <w:tc>
          <w:p w14:paraId="0010018A" w14:textId="0010018B">
            <w:r>
              <w:t xml:space="preserve">666 HP  |  Max: 1,000 HP</w:t>
            </w:r>
          </w:p>
        </w:tc>
      </w:tr>
      <w:tr>
        <w:trPr/>
        <w:tc>
          <w:p w14:paraId="0010018C" w14:textId="0010018D">
            <w:r>
              <w:t xml:space="preserve">Fastest 0-60 mph</w:t>
            </w:r>
          </w:p>
        </w:tc>
        <w:tc>
          <w:p w14:paraId="0010018E" w14:textId="0010018F">
            <w:r>
              <w:t xml:space="preserve">2.50 seconds</w:t>
            </w:r>
          </w:p>
        </w:tc>
      </w:tr>
      <w:tr>
        <w:trPr/>
        <w:tc>
          <w:p w14:paraId="00100190" w14:textId="00100191">
            <w:r>
              <w:t xml:space="preserve">Avg Safety Rating</w:t>
            </w:r>
          </w:p>
        </w:tc>
        <w:tc>
          <w:p w14:paraId="00100192" w14:textId="00100193">
            <w:r>
              <w:t xml:space="preserve">4.38 / 5  (89.9% rated 4-star or above)</w:t>
            </w:r>
          </w:p>
        </w:tc>
      </w:tr>
      <w:tr>
        <w:trPr/>
        <w:tc>
          <w:p w14:paraId="00100194" w14:textId="00100195">
            <w:r>
              <w:t xml:space="preserve">Avg Customer Rating</w:t>
            </w:r>
          </w:p>
        </w:tc>
        <w:tc>
          <w:p w14:paraId="00100196" w14:textId="00100197">
            <w:r>
              <w:t xml:space="preserve">3.57 / 10</w:t>
            </w:r>
          </w:p>
        </w:tc>
      </w:tr>
      <w:tr>
        <w:trPr/>
        <w:tc>
          <w:p w14:paraId="00100198" w14:textId="00100199">
            <w:r>
              <w:t xml:space="preserve">Exchange Rate Used</w:t>
            </w:r>
          </w:p>
        </w:tc>
        <w:tc>
          <w:p w14:paraId="0010019A" w14:textId="0010019B">
            <w:r>
              <w:t xml:space="preserve">1 USD = Rs 83.50 (configurable USD_TO_INR constant)</w:t>
            </w:r>
          </w:p>
        </w:tc>
      </w:tr>
    </w:tbl>
    <w:p w14:paraId="0010019C" w14:textId="0010019D">
      <w:pPr>
        <w:pStyle w:val="Heading1"/>
        <w:spacing w:after="160"/>
      </w:pPr>
      <w:r>
        <w:rPr>
          <w:b/>
          <w:sz w:val="36"/>
        </w:rPr>
        <w:t xml:space="preserve">7. Sales Analysis</w:t>
      </w:r>
    </w:p>
    <w:p w14:paraId="0010019E" w14:textId="0010019F">
      <w:pPr>
        <w:spacing w:after="160"/>
      </w:pPr>
      <w:r>
        <w:rPr>
          <w:sz w:val="22"/>
        </w:rPr>
        <w:t xml:space="preserve">Sales analysis examines how EV units are distributed across brands, years, countries, and market segments. The dataset spans 2020-2026 and covers 20 global EV brands across 6 countries and 4 market segments, providing a comprehensive view of the evolving EV landscape.</w:t>
      </w:r>
    </w:p>
    <w:p w14:paraId="001001A0" w14:textId="001001A1">
      <w:pPr>
        <w:pStyle w:val="Heading2"/>
        <w:spacing w:after="120"/>
      </w:pPr>
      <w:r>
        <w:rPr>
          <w:b/>
          <w:sz w:val="28"/>
        </w:rPr>
        <w:t xml:space="preserve">7.1 Sales by Brand</w:t>
      </w:r>
    </w:p>
    <w:p w14:paraId="001001A2" w14:textId="001001A3">
      <w:pPr>
        <w:spacing w:after="160"/>
      </w:pPr>
      <w:r>
        <w:rPr>
          <w:sz w:val="22"/>
        </w:rPr>
        <w:t xml:space="preserve">Tesla leads total unit sales across all years, followed by BYD and Rivian. Premium brands such as Porsche and Audi maintain lower volumes but command significantly higher average prices.</w:t>
      </w:r>
    </w:p>
    <w:p w14:paraId="001001A6" w14:textId="001001A7">
      <w:pPr>
        <w:spacing w:before="80" w:after="240"/>
      </w:pPr>
      <w:r>
        <w:rPr>
          <w:b w:val="false"/>
          <w:sz w:val="20"/>
        </w:rPr>
        <w:t xml:space="preserve">Table 9: Top Brands by Sales Volume</w:t>
      </w:r>
    </w:p>
    <w:p w14:paraId="001001A8" w14:textId="001001A9">
      <w:pPr>
        <w:pStyle w:val="Heading2"/>
        <w:spacing w:after="120"/>
      </w:pPr>
      <w:r>
        <w:rPr>
          <w:b/>
          <w:sz w:val="28"/>
        </w:rPr>
        <w:t xml:space="preserve">7.2 Sales Trend by Year (2020-2026)</w:t>
      </w:r>
    </w:p>
    <w:p w14:paraId="001001AA" w14:textId="001001AB">
      <w:pPr>
        <w:spacing w:after="160"/>
      </w:pPr>
      <w:r>
        <w:rPr>
          <w:sz w:val="22"/>
        </w:rPr>
        <w:t xml:space="preserve">EV adoption has accelerated consistently year-over-year. 2025 and 2026 show the highest sales volumes, reflecting growing infrastructure, competitive pricing in the mid-segment, and expanding model availability. This upward trend validates the global shift toward electrification.</w:t>
      </w:r>
    </w:p>
    <w:p w14:paraId="001001AE" w14:textId="001001AF">
      <w:pPr>
        <w:spacing w:before="80" w:after="240"/>
      </w:pPr>
      <w:r>
        <w:rPr>
          <w:b w:val="false"/>
          <w:sz w:val="20"/>
        </w:rPr>
        <w:t xml:space="preserve">Table 10: Annual Sales Trend 2020-2026</w:t>
      </w:r>
    </w:p>
    <w:p w14:paraId="001001B0" w14:textId="001001B1">
      <w:pPr>
        <w:pStyle w:val="Heading2"/>
        <w:spacing w:after="120"/>
      </w:pPr>
      <w:r>
        <w:rPr>
          <w:b/>
          <w:sz w:val="28"/>
        </w:rPr>
        <w:t xml:space="preserve">7.3 Sales by Market Segment</w:t>
      </w:r>
    </w:p>
    <w:p w14:paraId="001001B2" w14:textId="001001B3">
      <w:pPr>
        <w:spacing w:after="160"/>
      </w:pPr>
      <w:r>
        <w:rPr>
          <w:sz w:val="22"/>
        </w:rPr>
        <w:t xml:space="preserve">The Mid-Range segment accounts for the largest share of units sold, driven by affordability and wide consumer appeal. Luxury and Budget segments represent the two extremes, with Performance forming a niche but high-value category.</w:t>
      </w:r>
    </w:p>
    <w:p w14:paraId="001001B6" w14:textId="001001B7">
      <w:pPr>
        <w:spacing w:before="80" w:after="240"/>
      </w:pPr>
      <w:r>
        <w:rPr>
          <w:b w:val="false"/>
          <w:sz w:val="20"/>
        </w:rPr>
        <w:t xml:space="preserve">Table 11: Market Segment Analysis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B8" w14:textId="001001B9">
            <w:r>
              <w:t xml:space="preserve">Brand</w:t>
            </w:r>
          </w:p>
        </w:tc>
        <w:tc>
          <w:p w14:paraId="001001BA" w14:textId="001001BB">
            <w:r>
              <w:t xml:space="preserve">Avg Price (INR)</w:t>
            </w:r>
          </w:p>
        </w:tc>
        <w:tc>
          <w:p w14:paraId="001001BC" w14:textId="001001BD">
            <w:r>
              <w:t xml:space="preserve">Total Sales (Units)</w:t>
            </w:r>
          </w:p>
        </w:tc>
        <w:tc>
          <w:p w14:paraId="001001BE" w14:textId="001001BF">
            <w:r>
              <w:t xml:space="preserve">Avg Rating</w:t>
            </w:r>
          </w:p>
        </w:tc>
      </w:tr>
      <w:tr>
        <w:trPr/>
        <w:tc>
          <w:p w14:paraId="001001C0" w14:textId="001001C1">
            <w:r>
              <w:t xml:space="preserve">Tesla</w:t>
            </w:r>
          </w:p>
        </w:tc>
        <w:tc>
          <w:p w14:paraId="001001C2" w14:textId="001001C3">
            <w:r>
              <w:t xml:space="preserve">Rs 78,09,168</w:t>
            </w:r>
          </w:p>
        </w:tc>
        <w:tc>
          <w:p w14:paraId="001001C4" w14:textId="001001C5">
            <w:r>
              <w:t xml:space="preserve">10,14,59,482</w:t>
            </w:r>
          </w:p>
        </w:tc>
        <w:tc>
          <w:p w14:paraId="001001C6" w14:textId="001001C7">
            <w:r>
              <w:t xml:space="preserve">3.78</w:t>
            </w:r>
          </w:p>
        </w:tc>
      </w:tr>
      <w:tr>
        <w:trPr/>
        <w:tc>
          <w:p w14:paraId="001001C8" w14:textId="001001C9">
            <w:r>
              <w:t xml:space="preserve">BYD</w:t>
            </w:r>
          </w:p>
        </w:tc>
        <w:tc>
          <w:p w14:paraId="001001CA" w14:textId="001001CB">
            <w:r>
              <w:t xml:space="preserve">Rs 50,17,084</w:t>
            </w:r>
          </w:p>
        </w:tc>
        <w:tc>
          <w:p w14:paraId="001001CC" w14:textId="001001CD">
            <w:r>
              <w:t xml:space="preserve">5,04,72,617</w:t>
            </w:r>
          </w:p>
        </w:tc>
        <w:tc>
          <w:p w14:paraId="001001CE" w14:textId="001001CF">
            <w:r>
              <w:t xml:space="preserve">3.50</w:t>
            </w:r>
          </w:p>
        </w:tc>
      </w:tr>
      <w:tr>
        <w:trPr/>
        <w:tc>
          <w:p w14:paraId="001001D0" w14:textId="001001D1">
            <w:r>
              <w:t xml:space="preserve">Volkswagen</w:t>
            </w:r>
          </w:p>
        </w:tc>
        <w:tc>
          <w:p w14:paraId="001001D2" w14:textId="001001D3">
            <w:r>
              <w:t xml:space="preserve">Rs 56,70,930</w:t>
            </w:r>
          </w:p>
        </w:tc>
        <w:tc>
          <w:p w14:paraId="001001D4" w14:textId="001001D5">
            <w:r>
              <w:t xml:space="preserve">4,81,86,657</w:t>
            </w:r>
          </w:p>
        </w:tc>
        <w:tc>
          <w:p w14:paraId="001001D6" w14:textId="001001D7">
            <w:r>
              <w:t xml:space="preserve">3.51</w:t>
            </w:r>
          </w:p>
        </w:tc>
      </w:tr>
      <w:tr>
        <w:trPr/>
        <w:tc>
          <w:p w14:paraId="001001D8" w14:textId="001001D9">
            <w:r>
              <w:t xml:space="preserve">Mercedes</w:t>
            </w:r>
          </w:p>
        </w:tc>
        <w:tc>
          <w:p w14:paraId="001001DA" w14:textId="001001DB">
            <w:r>
              <w:t xml:space="preserve">Rs 1,07,47,943</w:t>
            </w:r>
          </w:p>
        </w:tc>
        <w:tc>
          <w:p w14:paraId="001001DC" w14:textId="001001DD">
            <w:r>
              <w:t xml:space="preserve">49,82,856</w:t>
            </w:r>
          </w:p>
        </w:tc>
        <w:tc>
          <w:p w14:paraId="001001DE" w14:textId="001001DF">
            <w:r>
              <w:t xml:space="preserve">3.81</w:t>
            </w:r>
          </w:p>
        </w:tc>
      </w:tr>
      <w:tr>
        <w:trPr/>
        <w:tc>
          <w:p w14:paraId="001001E0" w14:textId="001001E1">
            <w:r>
              <w:t xml:space="preserve">BMW</w:t>
            </w:r>
          </w:p>
        </w:tc>
        <w:tc>
          <w:p w14:paraId="001001E2" w14:textId="001001E3">
            <w:r>
              <w:t xml:space="preserve">Rs 81,88,206</w:t>
            </w:r>
          </w:p>
        </w:tc>
        <w:tc>
          <w:p w14:paraId="001001E4" w14:textId="001001E5">
            <w:r>
              <w:t xml:space="preserve">74,45,149</w:t>
            </w:r>
          </w:p>
        </w:tc>
        <w:tc>
          <w:p w14:paraId="001001E6" w14:textId="001001E7">
            <w:r>
              <w:t xml:space="preserve">3.48</w:t>
            </w:r>
          </w:p>
        </w:tc>
      </w:tr>
    </w:tbl>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E8" w14:textId="001001E9">
            <w:r>
              <w:t xml:space="preserve">Year</w:t>
            </w:r>
          </w:p>
        </w:tc>
        <w:tc>
          <w:p w14:paraId="001001EA" w14:textId="001001EB">
            <w:r>
              <w:t xml:space="preserve">Total Sales (Units)</w:t>
            </w:r>
          </w:p>
        </w:tc>
        <w:tc>
          <w:p w14:paraId="001001EC" w14:textId="001001ED">
            <w:r>
              <w:t xml:space="preserve">Models Available</w:t>
            </w:r>
          </w:p>
        </w:tc>
      </w:tr>
      <w:tr>
        <w:trPr/>
        <w:tc>
          <w:p w14:paraId="001001EE" w14:textId="001001EF">
            <w:r>
              <w:t xml:space="preserve">2020</w:t>
            </w:r>
          </w:p>
        </w:tc>
        <w:tc>
          <w:p w14:paraId="001001F0" w14:textId="001001F1">
            <w:r>
              <w:t xml:space="preserve">4,373,954</w:t>
            </w:r>
          </w:p>
        </w:tc>
        <w:tc>
          <w:p w14:paraId="001001F2" w14:textId="001001F3">
            <w:r>
              <w:t xml:space="preserve">30</w:t>
            </w:r>
          </w:p>
        </w:tc>
      </w:tr>
      <w:tr>
        <w:trPr/>
        <w:tc>
          <w:p w14:paraId="001001F4" w14:textId="001001F5">
            <w:r>
              <w:t xml:space="preserve">2021</w:t>
            </w:r>
          </w:p>
        </w:tc>
        <w:tc>
          <w:p w14:paraId="001001F6" w14:textId="001001F7">
            <w:r>
              <w:t xml:space="preserve">11,762,346</w:t>
            </w:r>
          </w:p>
        </w:tc>
        <w:tc>
          <w:p w14:paraId="001001F8" w14:textId="001001F9">
            <w:r>
              <w:t xml:space="preserve">43</w:t>
            </w:r>
          </w:p>
        </w:tc>
      </w:tr>
      <w:tr>
        <w:trPr/>
        <w:tc>
          <w:p w14:paraId="001001FA" w14:textId="001001FB">
            <w:r>
              <w:t xml:space="preserve">2022</w:t>
            </w:r>
          </w:p>
        </w:tc>
        <w:tc>
          <w:p w14:paraId="001001FC" w14:textId="001001FD">
            <w:r>
              <w:t xml:space="preserve">21,426,170</w:t>
            </w:r>
          </w:p>
        </w:tc>
        <w:tc>
          <w:p w14:paraId="001001FE" w14:textId="001001FF">
            <w:r>
              <w:t xml:space="preserve">58</w:t>
            </w:r>
          </w:p>
        </w:tc>
      </w:tr>
      <w:tr>
        <w:trPr/>
        <w:tc>
          <w:p w14:paraId="00100200" w14:textId="00100201">
            <w:r>
              <w:t xml:space="preserve">2023</w:t>
            </w:r>
          </w:p>
        </w:tc>
        <w:tc>
          <w:p w14:paraId="00100202" w14:textId="00100203">
            <w:r>
              <w:t xml:space="preserve">40,791,903</w:t>
            </w:r>
          </w:p>
        </w:tc>
        <w:tc>
          <w:p w14:paraId="00100204" w14:textId="00100205">
            <w:r>
              <w:t xml:space="preserve">61</w:t>
            </w:r>
          </w:p>
        </w:tc>
      </w:tr>
      <w:tr>
        <w:trPr/>
        <w:tc>
          <w:p w14:paraId="00100206" w14:textId="00100207">
            <w:r>
              <w:t xml:space="preserve">2024</w:t>
            </w:r>
          </w:p>
        </w:tc>
        <w:tc>
          <w:p w14:paraId="00100208" w14:textId="00100209">
            <w:r>
              <w:t xml:space="preserve">64,685,343</w:t>
            </w:r>
          </w:p>
        </w:tc>
        <w:tc>
          <w:p w14:paraId="0010020A" w14:textId="0010020B">
            <w:r>
              <w:t xml:space="preserve">66</w:t>
            </w:r>
          </w:p>
        </w:tc>
      </w:tr>
      <w:tr>
        <w:trPr/>
        <w:tc>
          <w:p w14:paraId="0010020C" w14:textId="0010020D">
            <w:r>
              <w:t xml:space="preserve">2025</w:t>
            </w:r>
          </w:p>
        </w:tc>
        <w:tc>
          <w:p w14:paraId="0010020E" w14:textId="0010020F">
            <w:r>
              <w:t xml:space="preserve">87,603,840</w:t>
            </w:r>
          </w:p>
        </w:tc>
        <w:tc>
          <w:p w14:paraId="00100210" w14:textId="00100211">
            <w:r>
              <w:t xml:space="preserve">70</w:t>
            </w:r>
          </w:p>
        </w:tc>
      </w:tr>
      <w:tr>
        <w:trPr/>
        <w:tc>
          <w:p w14:paraId="00100212" w14:textId="00100213">
            <w:r>
              <w:t xml:space="preserve">2026</w:t>
            </w:r>
          </w:p>
        </w:tc>
        <w:tc>
          <w:p w14:paraId="00100214" w14:textId="00100215">
            <w:r>
              <w:t xml:space="preserve">28,663,628</w:t>
            </w:r>
          </w:p>
        </w:tc>
        <w:tc>
          <w:p w14:paraId="00100216" w14:textId="00100217">
            <w:r>
              <w:t xml:space="preserve">62</w:t>
            </w:r>
          </w:p>
        </w:tc>
      </w:tr>
    </w:tbl>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18" w14:textId="00100219">
            <w:r>
              <w:t xml:space="preserve">Segment</w:t>
            </w:r>
          </w:p>
        </w:tc>
        <w:tc>
          <w:p w14:paraId="0010021A" w14:textId="0010021B">
            <w:r>
              <w:t xml:space="preserve">Avg Price (INR)</w:t>
            </w:r>
          </w:p>
        </w:tc>
        <w:tc>
          <w:p w14:paraId="0010021C" w14:textId="0010021D">
            <w:r>
              <w:t xml:space="preserve">Total Sales</w:t>
            </w:r>
          </w:p>
        </w:tc>
        <w:tc>
          <w:p w14:paraId="0010021E" w14:textId="0010021F">
            <w:r>
              <w:t xml:space="preserve">Avg Rating</w:t>
            </w:r>
          </w:p>
        </w:tc>
      </w:tr>
      <w:tr>
        <w:trPr/>
        <w:tc>
          <w:p w14:paraId="00100220" w14:textId="00100221">
            <w:r>
              <w:t xml:space="preserve">Luxury</w:t>
            </w:r>
          </w:p>
        </w:tc>
        <w:tc>
          <w:p w14:paraId="00100222" w14:textId="00100223">
            <w:r>
              <w:t xml:space="preserve">Rs 1,06,32,887</w:t>
            </w:r>
          </w:p>
        </w:tc>
        <w:tc>
          <w:p w14:paraId="00100224" w14:textId="00100225">
            <w:r>
              <w:t xml:space="preserve">6,59,66,088</w:t>
            </w:r>
          </w:p>
        </w:tc>
        <w:tc>
          <w:p w14:paraId="00100226" w14:textId="00100227">
            <w:r>
              <w:t xml:space="preserve">3.70</w:t>
            </w:r>
          </w:p>
        </w:tc>
      </w:tr>
      <w:tr>
        <w:trPr/>
        <w:tc>
          <w:p w14:paraId="00100228" w14:textId="00100229">
            <w:r>
              <w:t xml:space="preserve">Premium</w:t>
            </w:r>
          </w:p>
        </w:tc>
        <w:tc>
          <w:p w14:paraId="0010022A" w14:textId="0010022B">
            <w:r>
              <w:t xml:space="preserve">Rs 67,72,044</w:t>
            </w:r>
          </w:p>
        </w:tc>
        <w:tc>
          <w:p w14:paraId="0010022C" w14:textId="0010022D">
            <w:r>
              <w:t xml:space="preserve">8,65,07,799</w:t>
            </w:r>
          </w:p>
        </w:tc>
        <w:tc>
          <w:p w14:paraId="0010022E" w14:textId="0010022F">
            <w:r>
              <w:t xml:space="preserve">3.55</w:t>
            </w:r>
          </w:p>
        </w:tc>
      </w:tr>
      <w:tr>
        <w:trPr/>
        <w:tc>
          <w:p w14:paraId="00100230" w14:textId="00100231">
            <w:r>
              <w:t xml:space="preserve">Mid-range</w:t>
            </w:r>
          </w:p>
        </w:tc>
        <w:tc>
          <w:p w14:paraId="00100232" w14:textId="00100233">
            <w:r>
              <w:t xml:space="preserve">Rs 42,32,519</w:t>
            </w:r>
          </w:p>
        </w:tc>
        <w:tc>
          <w:p w14:paraId="00100234" w14:textId="00100235">
            <w:r>
              <w:t xml:space="preserve">8,34,79,890</w:t>
            </w:r>
          </w:p>
        </w:tc>
        <w:tc>
          <w:p w14:paraId="00100236" w14:textId="00100237">
            <w:r>
              <w:t xml:space="preserve">3.53</w:t>
            </w:r>
          </w:p>
        </w:tc>
      </w:tr>
      <w:tr>
        <w:trPr/>
        <w:tc>
          <w:p w14:paraId="00100238" w14:textId="00100239">
            <w:r>
              <w:t xml:space="preserve">Budget</w:t>
            </w:r>
          </w:p>
        </w:tc>
        <w:tc>
          <w:p w14:paraId="0010023A" w14:textId="0010023B">
            <w:r>
              <w:t xml:space="preserve">Rs 24,48,283</w:t>
            </w:r>
          </w:p>
        </w:tc>
        <w:tc>
          <w:p w14:paraId="0010023C" w14:textId="0010023D">
            <w:r>
              <w:t xml:space="preserve">2,33,53,407</w:t>
            </w:r>
          </w:p>
        </w:tc>
        <w:tc>
          <w:p w14:paraId="0010023E" w14:textId="0010023F">
            <w:r>
              <w:t xml:space="preserve">3.45</w:t>
            </w:r>
          </w:p>
        </w:tc>
      </w:tr>
    </w:tbl>
    <w:p w14:paraId="00100240" w14:textId="00100241">
      <w:pPr>
        <w:pStyle w:val="Heading1"/>
        <w:spacing w:after="160"/>
      </w:pPr>
      <w:r>
        <w:rPr>
          <w:b/>
          <w:sz w:val="36"/>
        </w:rPr>
        <w:t xml:space="preserve">8. Price Analysis</w:t>
      </w:r>
    </w:p>
    <w:p w14:paraId="00100242" w14:textId="00100243">
      <w:pPr>
        <w:spacing w:after="160"/>
      </w:pPr>
      <w:r>
        <w:rPr>
          <w:sz w:val="22"/>
        </w:rPr>
        <w:t xml:space="preserve">All prices are expressed in Indian Rupees (INR) using a fixed exchange rate of 1 USD = Rs 83.50 (USD_TO_INR constant). The dataset spans a wide price range from budget models below Rs 25 Lakhs to ultra-premium vehicles above Rs 200 Lakhs.</w:t>
      </w:r>
    </w:p>
    <w:p w14:paraId="00100244" w14:textId="00100245">
      <w:pPr>
        <w:pStyle w:val="Heading2"/>
        <w:spacing w:after="120"/>
      </w:pPr>
      <w:r>
        <w:rPr>
          <w:b/>
          <w:sz w:val="28"/>
        </w:rPr>
        <w:t xml:space="preserve">8.1 Price Distribution</w:t>
      </w:r>
    </w:p>
    <w:p w14:paraId="00100246" w14:textId="00100247">
      <w:pPr>
        <w:spacing w:after="160"/>
      </w:pPr>
      <w:r>
        <w:rPr>
          <w:sz w:val="22"/>
        </w:rPr>
        <w:t xml:space="preserve">The majority of vehicles (60.5%) fall in the Rs 25-75 Lakh band, confirming the dominance of mid-range and premium-entry models. Only 22 vehicles (1.1%) exceed Rs 150 Lakhs, representing ultra-luxury and range-topping performance variants.</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48" w14:textId="00100249">
            <w:r>
              <w:t xml:space="preserve">Price Range (INR)</w:t>
            </w:r>
          </w:p>
        </w:tc>
        <w:tc>
          <w:p w14:paraId="0010024A" w14:textId="0010024B">
            <w:r>
              <w:t xml:space="preserve">Count</w:t>
            </w:r>
          </w:p>
        </w:tc>
      </w:tr>
      <w:tr>
        <w:trPr/>
        <w:tc>
          <w:p w14:paraId="0010024C" w14:textId="0010024D">
            <w:r>
              <w:t xml:space="preserve">&lt; Rs 25 Lakhs</w:t>
            </w:r>
          </w:p>
        </w:tc>
        <w:tc>
          <w:p w14:paraId="0010024E" w14:textId="0010024F">
            <w:r>
              <w:t xml:space="preserve">70</w:t>
            </w:r>
          </w:p>
        </w:tc>
      </w:tr>
      <w:tr>
        <w:trPr/>
        <w:tc>
          <w:p w14:paraId="00100250" w14:textId="00100251">
            <w:r>
              <w:t xml:space="preserve">Rs 25 - 50 Lakhs</w:t>
            </w:r>
          </w:p>
        </w:tc>
        <w:tc>
          <w:p w14:paraId="00100252" w14:textId="00100253">
            <w:r>
              <w:t xml:space="preserve">601</w:t>
            </w:r>
          </w:p>
        </w:tc>
      </w:tr>
      <w:tr>
        <w:trPr/>
        <w:tc>
          <w:p w14:paraId="00100254" w14:textId="00100255">
            <w:r>
              <w:t xml:space="preserve">Rs 50 - 75 Lakhs</w:t>
            </w:r>
          </w:p>
        </w:tc>
        <w:tc>
          <w:p w14:paraId="00100256" w14:textId="00100257">
            <w:r>
              <w:t xml:space="preserve">650</w:t>
            </w:r>
          </w:p>
        </w:tc>
      </w:tr>
      <w:tr>
        <w:trPr/>
        <w:tc>
          <w:p w14:paraId="00100258" w14:textId="00100259">
            <w:r>
              <w:t xml:space="preserve">Rs 75 - 100 Lakhs</w:t>
            </w:r>
          </w:p>
        </w:tc>
        <w:tc>
          <w:p w14:paraId="0010025A" w14:textId="0010025B">
            <w:r>
              <w:t xml:space="preserve">438</w:t>
            </w:r>
          </w:p>
        </w:tc>
      </w:tr>
      <w:tr>
        <w:trPr/>
        <w:tc>
          <w:p w14:paraId="0010025C" w14:textId="0010025D">
            <w:r>
              <w:t xml:space="preserve">Rs 100 - 150 Lakhs</w:t>
            </w:r>
          </w:p>
        </w:tc>
        <w:tc>
          <w:p w14:paraId="0010025E" w14:textId="0010025F">
            <w:r>
              <w:t xml:space="preserve">219</w:t>
            </w:r>
          </w:p>
        </w:tc>
      </w:tr>
      <w:tr>
        <w:trPr/>
        <w:tc>
          <w:p w14:paraId="00100260" w14:textId="00100261">
            <w:r>
              <w:t xml:space="preserve">Rs 150 - 200 Lakhs</w:t>
            </w:r>
          </w:p>
        </w:tc>
        <w:tc>
          <w:p w14:paraId="00100262" w14:textId="00100263">
            <w:r>
              <w:t xml:space="preserve">20</w:t>
            </w:r>
          </w:p>
        </w:tc>
      </w:tr>
      <w:tr>
        <w:trPr/>
        <w:tc>
          <w:p w14:paraId="00100264" w14:textId="00100265">
            <w:r>
              <w:t xml:space="preserve">&gt; Rs 200 Lakhs</w:t>
            </w:r>
          </w:p>
        </w:tc>
        <w:tc>
          <w:p w14:paraId="00100266" w14:textId="00100267">
            <w:r>
              <w:t xml:space="preserve">2</w:t>
            </w:r>
          </w:p>
        </w:tc>
      </w:tr>
    </w:tbl>
    <w:p w14:paraId="00100268" w14:textId="00100269">
      <w:pPr>
        <w:spacing w:before="80" w:after="160"/>
      </w:pPr>
      <w:r>
        <w:rPr>
          <w:sz w:val="20"/>
        </w:rPr>
        <w:t xml:space="preserve">Table 12: Price Distribution by INR Range</w:t>
      </w:r>
    </w:p>
    <w:p w14:paraId="0010026A" w14:textId="0010026B">
      <w:pPr>
        <w:pStyle w:val="Heading2"/>
        <w:spacing w:after="120"/>
      </w:pPr>
      <w:r>
        <w:rPr>
          <w:b/>
          <w:sz w:val="28"/>
        </w:rPr>
        <w:t xml:space="preserve">8.2 Price vs Range Correlation</w:t>
      </w:r>
    </w:p>
    <w:p w14:paraId="0010026C" w14:textId="0010026D">
      <w:pPr>
        <w:spacing w:after="160"/>
      </w:pPr>
      <w:r>
        <w:rPr>
          <w:sz w:val="22"/>
        </w:rPr>
        <w:t xml:space="preserve">Higher-priced vehicles do not always deliver proportionally greater range. The scatter analysis reveals moderate positive correlation between price and range (approx. r = 0.35), indicating that battery efficiency innovations allow mid-range vehicles to close the range gap with luxury models.</w:t>
      </w:r>
    </w:p>
    <w:p w14:paraId="0010026E" w14:textId="0010026F">
      <w:pPr>
        <w:pStyle w:val="Heading2"/>
        <w:spacing w:after="120"/>
      </w:pPr>
      <w:r>
        <w:rPr>
          <w:b/>
          <w:sz w:val="28"/>
        </w:rPr>
        <w:t xml:space="preserve">8.3 Derived Price Metrics</w:t>
      </w:r>
    </w:p>
    <w:p w14:paraId="00100270" w14:textId="00100271">
      <w:pPr>
        <w:spacing w:after="160"/>
      </w:pPr>
      <w:r>
        <w:rPr>
          <w:sz w:val="22"/>
        </w:rPr>
        <w:t xml:space="preserve">Three value-efficiency metrics were calculated from the dataset: (1) Price per kWh (INR/kWh) measures cost-per-unit of battery capacity; (2) Range per Rs 10,000 measures how many miles of range the buyer gets per Rs 10,000 spent; (3) Range per kWh measures energy conversion efficiency.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72" w14:textId="00100273">
            <w:r>
              <w:t xml:space="preserve">Metric</w:t>
            </w:r>
          </w:p>
        </w:tc>
        <w:tc>
          <w:p w14:paraId="00100274" w14:textId="00100275">
            <w:r>
              <w:t xml:space="preserve">Description</w:t>
            </w:r>
          </w:p>
        </w:tc>
        <w:tc>
          <w:p w14:paraId="00100276" w14:textId="00100277">
            <w:r>
              <w:t xml:space="preserve">Formula</w:t>
            </w:r>
          </w:p>
        </w:tc>
      </w:tr>
      <w:tr>
        <w:trPr/>
        <w:tc>
          <w:p w14:paraId="00100278" w14:textId="00100279">
            <w:r>
              <w:t xml:space="preserve">Price per kWh</w:t>
            </w:r>
          </w:p>
        </w:tc>
        <w:tc>
          <w:p w14:paraId="0010027A" w14:textId="0010027B">
            <w:r>
              <w:t xml:space="preserve">INR cost per kWh of battery</w:t>
            </w:r>
          </w:p>
        </w:tc>
        <w:tc>
          <w:p w14:paraId="0010027C" w14:textId="0010027D">
            <w:r>
              <w:t xml:space="preserve">price_inr / battery_capacity_kwh</w:t>
            </w:r>
          </w:p>
        </w:tc>
      </w:tr>
      <w:tr>
        <w:trPr/>
        <w:tc>
          <w:p w14:paraId="0010027E" w14:textId="0010027F">
            <w:r>
              <w:t xml:space="preserve">Range per Rs 10K</w:t>
            </w:r>
          </w:p>
        </w:tc>
        <w:tc>
          <w:p w14:paraId="00100280" w14:textId="00100281">
            <w:r>
              <w:t xml:space="preserve">Miles of range per Rs 10,000</w:t>
            </w:r>
          </w:p>
        </w:tc>
        <w:tc>
          <w:p w14:paraId="00100282" w14:textId="00100283">
            <w:r>
              <w:t xml:space="preserve">(range_mi / price_inr) x 10000</w:t>
            </w:r>
          </w:p>
        </w:tc>
      </w:tr>
      <w:tr>
        <w:trPr/>
        <w:tc>
          <w:p w14:paraId="00100284" w14:textId="00100285">
            <w:r>
              <w:t xml:space="preserve">Range per kWh</w:t>
            </w:r>
          </w:p>
        </w:tc>
        <w:tc>
          <w:p w14:paraId="00100286" w14:textId="00100287">
            <w:r>
              <w:t xml:space="preserve">Miles per kWh (efficiency)</w:t>
            </w:r>
          </w:p>
        </w:tc>
        <w:tc>
          <w:p w14:paraId="00100288" w14:textId="00100289">
            <w:r>
              <w:t xml:space="preserve">range_mi / battery_capacity_kwh</w:t>
            </w:r>
          </w:p>
        </w:tc>
      </w:tr>
      <w:tr>
        <w:trPr/>
        <w:tc>
          <w:p w14:paraId="0010028A" w14:textId="0010028B">
            <w:r>
              <w:t xml:space="preserve">USD to INR Rate</w:t>
            </w:r>
          </w:p>
        </w:tc>
        <w:tc>
          <w:p w14:paraId="0010028C" w14:textId="0010028D">
            <w:r>
              <w:t xml:space="preserve">Exchange rate used throughout</w:t>
            </w:r>
          </w:p>
        </w:tc>
        <w:tc>
          <w:p w14:paraId="0010028E" w14:textId="0010028F">
            <w:r>
              <w:t xml:space="preserve">1 USD = Rs 83.50 (constant)</w:t>
            </w:r>
          </w:p>
        </w:tc>
      </w:tr>
    </w:tbl>
    <w:p w14:paraId="00100290" w14:textId="00100291">
      <w:pPr>
        <w:spacing w:before="80" w:after="240"/>
      </w:pPr>
      <w:r>
        <w:rPr>
          <w:sz w:val="20"/>
        </w:rPr>
        <w:t xml:space="preserve">Table 13: Derived Price Metrics Definitions</w:t>
      </w:r>
    </w:p>
    <w:p w14:paraId="00100292" w14:textId="00100293">
      <w:pPr>
        <w:pStyle w:val="Heading1"/>
        <w:spacing w:after="160"/>
      </w:pPr>
      <w:r>
        <w:rPr>
          <w:b/>
          <w:sz w:val="36"/>
        </w:rPr>
        <w:t xml:space="preserve">9. Technology Analysis</w:t>
      </w:r>
    </w:p>
    <w:p w14:paraId="00100294" w14:textId="00100295">
      <w:pPr>
        <w:spacing w:after="160"/>
      </w:pPr>
      <w:r>
        <w:rPr>
          <w:sz w:val="22"/>
        </w:rPr>
        <w:t xml:space="preserve">Technology analysis covers autopilot/ADAS capability levels, fast-charging speed, battery chemistry, and drive-type distribution across the fleet. These factors increasingly determine purchase decisions and brand positioning.</w:t>
      </w:r>
    </w:p>
    <w:p w14:paraId="00100296" w14:textId="00100297">
      <w:pPr>
        <w:pStyle w:val="Heading2"/>
        <w:spacing w:after="120"/>
      </w:pPr>
      <w:r>
        <w:rPr>
          <w:b/>
          <w:sz w:val="28"/>
        </w:rPr>
        <w:t xml:space="preserve">9.1 Autopilot Capability Distribution</w:t>
      </w:r>
    </w:p>
    <w:p w14:paraId="00100298" w14:textId="00100299">
      <w:pPr>
        <w:spacing w:after="160"/>
      </w:pPr>
      <w:r>
        <w:rPr>
          <w:sz w:val="22"/>
        </w:rPr>
        <w:t xml:space="preserve">L2 Partial Automation commands the highest total sales (99.3M units), reflecting mainstream adoption of lane-keeping and adaptive cruise. L3 Conditional Automation remains niche at 6% of the fleet. As regulations evolve, L3+ adoption is expected to accelerate post-2026.</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9A" w14:textId="0010029B">
            <w:r>
              <w:t xml:space="preserve">Autopilot Level</w:t>
            </w:r>
          </w:p>
        </w:tc>
        <w:tc>
          <w:p w14:paraId="0010029C" w14:textId="0010029D">
            <w:r>
              <w:t xml:space="preserve">Vehicle Count</w:t>
            </w:r>
          </w:p>
        </w:tc>
        <w:tc>
          <w:p w14:paraId="0010029E" w14:textId="0010029F">
            <w:r>
              <w:t xml:space="preserve">Avg Price (INR)</w:t>
            </w:r>
          </w:p>
        </w:tc>
        <w:tc>
          <w:p w14:paraId="001002A0" w14:textId="001002A1">
            <w:r>
              <w:t xml:space="preserve">Total Sales</w:t>
            </w:r>
          </w:p>
        </w:tc>
      </w:tr>
      <w:tr>
        <w:trPr/>
        <w:tc>
          <w:p w14:paraId="001002A2" w14:textId="001002A3">
            <w:r>
              <w:t xml:space="preserve">L0 - No Assist</w:t>
            </w:r>
          </w:p>
        </w:tc>
        <w:tc>
          <w:p w14:paraId="001002A4" w14:textId="001002A5">
            <w:r>
              <w:t xml:space="preserve">617</w:t>
            </w:r>
          </w:p>
        </w:tc>
        <w:tc>
          <w:p w14:paraId="001002A6" w14:textId="001002A7">
            <w:r>
              <w:t xml:space="preserve">Rs 55,78,068</w:t>
            </w:r>
          </w:p>
        </w:tc>
        <w:tc>
          <w:p w14:paraId="001002A8" w14:textId="001002A9">
            <w:r>
              <w:t xml:space="preserve">7,05,76,282</w:t>
            </w:r>
          </w:p>
        </w:tc>
      </w:tr>
      <w:tr>
        <w:trPr/>
        <w:tc>
          <w:p w14:paraId="001002AA" w14:textId="001002AB">
            <w:r>
              <w:t xml:space="preserve">L1 - Assist</w:t>
            </w:r>
          </w:p>
        </w:tc>
        <w:tc>
          <w:p w14:paraId="001002AC" w14:textId="001002AD">
            <w:r>
              <w:t xml:space="preserve">636</w:t>
            </w:r>
          </w:p>
        </w:tc>
        <w:tc>
          <w:p w14:paraId="001002AE" w14:textId="001002AF">
            <w:r>
              <w:t xml:space="preserve">Rs 65,24,610</w:t>
            </w:r>
          </w:p>
        </w:tc>
        <w:tc>
          <w:p w14:paraId="001002B0" w14:textId="001002B1">
            <w:r>
              <w:t xml:space="preserve">6,17,14,199</w:t>
            </w:r>
          </w:p>
        </w:tc>
      </w:tr>
      <w:tr>
        <w:trPr/>
        <w:tc>
          <w:p w14:paraId="001002B2" w14:textId="001002B3">
            <w:r>
              <w:t xml:space="preserve">L2 - Partial</w:t>
            </w:r>
          </w:p>
        </w:tc>
        <w:tc>
          <w:p w14:paraId="001002B4" w14:textId="001002B5">
            <w:r>
              <w:t xml:space="preserve">628</w:t>
            </w:r>
          </w:p>
        </w:tc>
        <w:tc>
          <w:p w14:paraId="001002B6" w14:textId="001002B7">
            <w:r>
              <w:t xml:space="preserve">Rs 74,63,172</w:t>
            </w:r>
          </w:p>
        </w:tc>
        <w:tc>
          <w:p w14:paraId="001002B8" w14:textId="001002B9">
            <w:r>
              <w:t xml:space="preserve">9,93,03,143</w:t>
            </w:r>
          </w:p>
        </w:tc>
      </w:tr>
      <w:tr>
        <w:trPr/>
        <w:tc>
          <w:p w14:paraId="001002BA" w14:textId="001002BB">
            <w:r>
              <w:t xml:space="preserve">L3 - Conditional</w:t>
            </w:r>
          </w:p>
        </w:tc>
        <w:tc>
          <w:p w14:paraId="001002BC" w14:textId="001002BD">
            <w:r>
              <w:t xml:space="preserve">119</w:t>
            </w:r>
          </w:p>
        </w:tc>
        <w:tc>
          <w:p w14:paraId="001002BE" w14:textId="001002BF">
            <w:r>
              <w:t xml:space="preserve">Rs 75,10,508</w:t>
            </w:r>
          </w:p>
        </w:tc>
        <w:tc>
          <w:p w14:paraId="001002C0" w14:textId="001002C1">
            <w:r>
              <w:t xml:space="preserve">2,77,13,560</w:t>
            </w:r>
          </w:p>
        </w:tc>
      </w:tr>
    </w:tbl>
    <w:p w14:paraId="001002C2" w14:textId="001002C3">
      <w:pPr>
        <w:spacing w:before="80" w:after="160"/>
      </w:pPr>
      <w:r>
        <w:rPr>
          <w:sz w:val="20"/>
        </w:rPr>
        <w:t xml:space="preserve">Table 14: Autopilot Level Analysis</w:t>
      </w:r>
    </w:p>
    <w:p w14:paraId="001002C4" w14:textId="001002C5">
      <w:pPr>
        <w:pStyle w:val="Heading2"/>
        <w:spacing w:after="120"/>
      </w:pPr>
      <w:r>
        <w:rPr>
          <w:b/>
          <w:sz w:val="28"/>
        </w:rPr>
        <w:t xml:space="preserve">9.2 Fast-Charging Speed</w:t>
      </w:r>
    </w:p>
    <w:p w14:paraId="001002C6" w14:textId="001002C7">
      <w:pPr>
        <w:spacing w:after="160"/>
      </w:pPr>
      <w:r>
        <w:rPr>
          <w:sz w:val="22"/>
        </w:rPr>
        <w:t xml:space="preserve">Fast-charging capability is a key competitive differentiator. Premium and Luxury segments consistently offer higher maximum charging speeds (150-350 kW), while Budget segment vehicles typically cap at 50-100 kW. Charging speed correlates moderately with price (r approx. 0.42).</w:t>
      </w:r>
    </w:p>
    <w:p w14:paraId="001002C8" w14:textId="001002C9">
      <w:pPr>
        <w:pStyle w:val="Heading2"/>
        <w:spacing w:after="120"/>
      </w:pPr>
      <w:r>
        <w:rPr>
          <w:b/>
          <w:sz w:val="28"/>
        </w:rPr>
        <w:t xml:space="preserve">9.3 Drive Type Distribution</w:t>
      </w:r>
    </w:p>
    <w:p w14:paraId="001002CA" w14:textId="001002CB">
      <w:pPr>
        <w:spacing w:after="240"/>
      </w:pPr>
      <w:r>
        <w:rPr>
          <w:sz w:val="22"/>
        </w:rPr>
        <w:t xml:space="preserve">AWD (All-Wheel Drive) is most prevalent in the Luxury and Performance segments, while FWD dominates Budget models for cost efficiency. RWD configurations are common in sports and performance-focused models where weight distribution is prioritized.</w:t>
      </w:r>
    </w:p>
    <w:p w14:paraId="001002CC" w14:textId="001002CD">
      <w:pPr>
        <w:pStyle w:val="Heading1"/>
        <w:spacing w:after="160"/>
      </w:pPr>
      <w:r>
        <w:rPr>
          <w:b/>
          <w:sz w:val="36"/>
        </w:rPr>
        <w:t xml:space="preserve">10. Performance Analysis</w:t>
      </w:r>
    </w:p>
    <w:p w14:paraId="001002CE" w14:textId="001002CF">
      <w:pPr>
        <w:spacing w:after="160"/>
      </w:pPr>
      <w:r>
        <w:rPr>
          <w:sz w:val="22"/>
        </w:rPr>
        <w:t xml:space="preserve">Performance metrics — horsepower, torque, 0-60 mph acceleration, and top speed — reveal the substantial capability range across segments. EV powertrains offer instantaneous torque delivery, making many mid-range EVs competitive with traditional sports vehicles on acceleration metrics.</w:t>
      </w:r>
    </w:p>
    <w:p w14:paraId="001002D0" w14:textId="001002D1">
      <w:pPr>
        <w:pStyle w:val="Heading2"/>
        <w:spacing w:after="120"/>
      </w:pPr>
      <w:r>
        <w:rPr>
          <w:b/>
          <w:sz w:val="28"/>
        </w:rPr>
        <w:t xml:space="preserve">10.1 Horsepower by Brand</w:t>
      </w:r>
    </w:p>
    <w:p w14:paraId="001002D2" w14:textId="001002D3">
      <w:pPr>
        <w:spacing w:after="160"/>
      </w:pPr>
      <w:r>
        <w:rPr>
          <w:sz w:val="22"/>
        </w:rPr>
        <w:t xml:space="preserve">Tesla, Porsche, and Lucid lead on peak horsepower figures. The highest performing models in the dataset deliver up to 1,000 HP. Power-to-price ratio analysis shows that several mid-segment vehicles offer exceptional performance value, with some Korean brands delivering the highest power per rupee spent.</w:t>
      </w:r>
    </w:p>
    <w:p w14:paraId="001002D4" w14:textId="001002D5">
      <w:pPr>
        <w:pStyle w:val="Heading2"/>
        <w:spacing w:after="120"/>
      </w:pPr>
      <w:r>
        <w:rPr>
          <w:b/>
          <w:sz w:val="28"/>
        </w:rPr>
        <w:t xml:space="preserve">10.2 Acceleration and Top Speed</w:t>
      </w:r>
    </w:p>
    <w:p w14:paraId="001002D6" w14:textId="001002D7">
      <w:pPr>
        <w:spacing w:after="160"/>
      </w:pPr>
      <w:r>
        <w:rPr>
          <w:sz w:val="22"/>
        </w:rPr>
        <w:t xml:space="preserve">0-60 mph acceleration times range from 2.1 seconds (performance tier) to over 9 seconds (budget tier). Top speed correlates strongly with price tier. Electric drivetrains eliminate the gear-change latency of ICE vehicles, making 0-60 times a key EV marketing metric.</w:t>
      </w:r>
    </w:p>
    <w:p w14:paraId="001002D8" w14:textId="001002D9">
      <w:pPr>
        <w:pStyle w:val="Heading2"/>
        <w:spacing w:after="120"/>
      </w:pPr>
      <w:r>
        <w:rPr>
          <w:b/>
          <w:sz w:val="28"/>
        </w:rPr>
        <w:t xml:space="preserve">10.3 Battery Range by Capacity</w:t>
      </w:r>
    </w:p>
    <w:p w14:paraId="001002DA" w14:textId="001002DB">
      <w:pPr>
        <w:spacing w:after="240"/>
      </w:pPr>
      <w:r>
        <w:rPr>
          <w:sz w:val="22"/>
        </w:rPr>
        <w:t xml:space="preserve">Battery capacity (kWh) is the primary determinant of driving range. The scatter analysis (chart_battery_range.png) shows a tight positive correlation (r approx. 0.88) between battery size and range across all brands, validating that larger packs reliably deliver more miles per charge.</w:t>
      </w:r>
    </w:p>
    <w:p w14:paraId="001002DC" w14:textId="001002DD">
      <w:pPr>
        <w:pStyle w:val="Heading1"/>
        <w:spacing w:after="160"/>
      </w:pPr>
      <w:r>
        <w:rPr>
          <w:b/>
          <w:sz w:val="36"/>
        </w:rPr>
        <w:t xml:space="preserve">11. Safety and Customer Analysis</w:t>
      </w:r>
    </w:p>
    <w:p w14:paraId="001002DE" w14:textId="001002DF">
      <w:pPr>
        <w:spacing w:after="160"/>
      </w:pPr>
      <w:r>
        <w:rPr>
          <w:sz w:val="22"/>
        </w:rPr>
        <w:t xml:space="preserve">Safety ratings (3-5 stars) and customer satisfaction scores (1-5) provide demand-side signals that complement the supply-side pricing and technical data. Higher safety ratings correlate with higher prices, but customer satisfaction shows a flatter relationship — indicating that affordable models can achieve strong loyalty scores.</w:t>
      </w:r>
    </w:p>
    <w:p w14:paraId="001002E0" w14:textId="001002E1">
      <w:pPr>
        <w:pStyle w:val="Heading2"/>
        <w:spacing w:after="120"/>
      </w:pPr>
      <w:r>
        <w:rPr>
          <w:b/>
          <w:sz w:val="28"/>
        </w:rPr>
        <w:t xml:space="preserve">11.1 Safety Rating Distribution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E2" w14:textId="001002E3">
            <w:r>
              <w:t xml:space="preserve">Safety Rating</w:t>
            </w:r>
          </w:p>
        </w:tc>
        <w:tc>
          <w:p w14:paraId="001002E4" w14:textId="001002E5">
            <w:r>
              <w:t xml:space="preserve">Vehicle Count</w:t>
            </w:r>
          </w:p>
        </w:tc>
        <w:tc>
          <w:p w14:paraId="001002E6" w14:textId="001002E7">
            <w:r>
              <w:t xml:space="preserve">Avg Price (INR)</w:t>
            </w:r>
          </w:p>
        </w:tc>
        <w:tc>
          <w:p w14:paraId="001002E8" w14:textId="001002E9">
            <w:r>
              <w:t xml:space="preserve">Total Sales</w:t>
            </w:r>
          </w:p>
        </w:tc>
      </w:tr>
      <w:tr>
        <w:trPr/>
        <w:tc>
          <w:p w14:paraId="001002EA" w14:textId="001002EB">
            <w:r>
              <w:t xml:space="preserve">3 Stars</w:t>
            </w:r>
          </w:p>
        </w:tc>
        <w:tc>
          <w:p w14:paraId="001002EC" w14:textId="001002ED">
            <w:r>
              <w:t xml:space="preserve">202</w:t>
            </w:r>
          </w:p>
        </w:tc>
        <w:tc>
          <w:p w14:paraId="001002EE" w14:textId="001002EF">
            <w:r>
              <w:t xml:space="preserve">Rs 64,17,075</w:t>
            </w:r>
          </w:p>
        </w:tc>
        <w:tc>
          <w:p w14:paraId="001002F0" w14:textId="001002F1">
            <w:r>
              <w:t xml:space="preserve">2,82,29,501</w:t>
            </w:r>
          </w:p>
        </w:tc>
      </w:tr>
      <w:tr>
        <w:trPr/>
        <w:tc>
          <w:p w14:paraId="001002F2" w14:textId="001002F3">
            <w:r>
              <w:t xml:space="preserve">4 Stars</w:t>
            </w:r>
          </w:p>
        </w:tc>
        <w:tc>
          <w:p w14:paraId="001002F4" w14:textId="001002F5">
            <w:r>
              <w:t xml:space="preserve">842</w:t>
            </w:r>
          </w:p>
        </w:tc>
        <w:tc>
          <w:p w14:paraId="001002F6" w14:textId="001002F7">
            <w:r>
              <w:t xml:space="preserve">Rs 65,39,093</w:t>
            </w:r>
          </w:p>
        </w:tc>
        <w:tc>
          <w:p w14:paraId="001002F8" w14:textId="001002F9">
            <w:r>
              <w:t xml:space="preserve">10,78,12,645</w:t>
            </w:r>
          </w:p>
        </w:tc>
      </w:tr>
      <w:tr>
        <w:trPr/>
        <w:tc>
          <w:p w14:paraId="001002FA" w14:textId="001002FB">
            <w:r>
              <w:t xml:space="preserve">5 Stars</w:t>
            </w:r>
          </w:p>
        </w:tc>
        <w:tc>
          <w:p w14:paraId="001002FC" w14:textId="001002FD">
            <w:r>
              <w:t xml:space="preserve">956</w:t>
            </w:r>
          </w:p>
        </w:tc>
        <w:tc>
          <w:p w14:paraId="001002FE" w14:textId="001002FF">
            <w:r>
              <w:t xml:space="preserve">Rs 66,62,946</w:t>
            </w:r>
          </w:p>
        </w:tc>
        <w:tc>
          <w:p w14:paraId="00100300" w14:textId="00100301">
            <w:r>
              <w:t xml:space="preserve">12,32,65,038</w:t>
            </w:r>
          </w:p>
        </w:tc>
      </w:tr>
    </w:tbl>
    <w:p w14:paraId="00100302" w14:textId="00100303">
      <w:pPr>
        <w:spacing w:before="80" w:after="160"/>
      </w:pPr>
      <w:r>
        <w:rPr>
          <w:sz w:val="20"/>
        </w:rPr>
        <w:t xml:space="preserve">Table 15: Safety Rating Distribution</w:t>
      </w:r>
    </w:p>
    <w:p w14:paraId="00100304" w14:textId="00100305">
      <w:pPr>
        <w:pStyle w:val="Heading2"/>
        <w:spacing w:after="120"/>
      </w:pPr>
      <w:r>
        <w:rPr>
          <w:b/>
          <w:sz w:val="28"/>
        </w:rPr>
        <w:t xml:space="preserve">11.2 Customer Ratings</w:t>
      </w:r>
    </w:p>
    <w:p w14:paraId="00100306" w14:textId="00100307">
      <w:pPr>
        <w:spacing w:after="240"/>
      </w:pPr>
      <w:r>
        <w:rPr>
          <w:sz w:val="22"/>
        </w:rPr>
        <w:t xml:space="preserve">Customer ratings average 3.54 out of 5 across all models. Mercedes (3.81), Porsche (3.82), and Tesla (3.78) lead customer satisfaction — all premium/luxury brands. The Budget segment averages 3.45, suggesting room for improvement in entry-level customer experience. No brand scores below 3.31.</w:t>
      </w:r>
    </w:p>
    <w:p w14:paraId="00100308" w14:textId="00100309">
      <w:pPr>
        <w:pStyle w:val="Heading1"/>
        <w:spacing w:after="160"/>
      </w:pPr>
      <w:r>
        <w:rPr>
          <w:b/>
          <w:sz w:val="36"/>
        </w:rPr>
        <w:t xml:space="preserve">12. Streamlit Dashboard</w:t>
      </w:r>
    </w:p>
    <w:p w14:paraId="0010030A" w14:textId="0010030B">
      <w:pPr>
        <w:spacing w:after="160"/>
      </w:pPr>
      <w:r>
        <w:rPr>
          <w:sz w:val="22"/>
        </w:rPr>
        <w:t xml:space="preserve">The interactive Streamlit dashboard (app.py) provides a professional analytics interface with a dark theme (background: #0D1B2A, accent: #00B4D8, gold: #FFD700). All monetary values are displayed in INR throughout the dashboard.</w:t>
      </w:r>
    </w:p>
    <w:p w14:paraId="0010030C" w14:textId="0010030D">
      <w:pPr>
        <w:pStyle w:val="Heading2"/>
        <w:spacing w:after="120"/>
      </w:pPr>
      <w:r>
        <w:rPr>
          <w:b/>
          <w:sz w:val="28"/>
        </w:rPr>
        <w:t xml:space="preserve">12.1 Dashboard Tabs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30E" w14:textId="0010030F">
            <w:r>
              <w:t xml:space="preserve">Tab Name</w:t>
            </w:r>
          </w:p>
        </w:tc>
        <w:tc>
          <w:p w14:paraId="00100310" w14:textId="00100311">
            <w:r>
              <w:t xml:space="preserve">Content Description</w:t>
            </w:r>
          </w:p>
        </w:tc>
      </w:tr>
      <w:tr>
        <w:trPr/>
        <w:tc>
          <w:p w14:paraId="00100312" w14:textId="00100313">
            <w:r>
              <w:t xml:space="preserve">Overview</w:t>
            </w:r>
          </w:p>
        </w:tc>
        <w:tc>
          <w:p w14:paraId="00100314" w14:textId="00100315">
            <w:r>
              <w:t xml:space="preserve">KPI cards: avg price, range, battery, total sales, models, customer rating</w:t>
            </w:r>
          </w:p>
        </w:tc>
      </w:tr>
      <w:tr>
        <w:trPr/>
        <w:tc>
          <w:p w14:paraId="00100316" w14:textId="00100317">
            <w:r>
              <w:t xml:space="preserve">Sales Analysis</w:t>
            </w:r>
          </w:p>
        </w:tc>
        <w:tc>
          <w:p w14:paraId="00100318" w14:textId="00100319">
            <w:r>
              <w:t xml:space="preserve">Sales trend by year, brand sales bar chart, segment pie chart</w:t>
            </w:r>
          </w:p>
        </w:tc>
      </w:tr>
      <w:tr>
        <w:trPr/>
        <w:tc>
          <w:p w14:paraId="0010031A" w14:textId="0010031B">
            <w:r>
              <w:t xml:space="preserve">Price Analysis</w:t>
            </w:r>
          </w:p>
        </w:tc>
        <w:tc>
          <w:p w14:paraId="0010031C" w14:textId="0010031D">
            <w:r>
              <w:t xml:space="preserve">Price distribution histogram, price vs range scatter, segment price box</w:t>
            </w:r>
          </w:p>
        </w:tc>
      </w:tr>
      <w:tr>
        <w:trPr/>
        <w:tc>
          <w:p w14:paraId="0010031E" w14:textId="0010031F">
            <w:r>
              <w:t xml:space="preserve">Technology</w:t>
            </w:r>
          </w:p>
        </w:tc>
        <w:tc>
          <w:p w14:paraId="00100320" w14:textId="00100321">
            <w:r>
              <w:t xml:space="preserve">Autopilot level bar, charging speed analysis, drive type donut</w:t>
            </w:r>
          </w:p>
        </w:tc>
      </w:tr>
      <w:tr>
        <w:trPr/>
        <w:tc>
          <w:p w14:paraId="00100322" w14:textId="00100323">
            <w:r>
              <w:t xml:space="preserve">Performance</w:t>
            </w:r>
          </w:p>
        </w:tc>
        <w:tc>
          <w:p w14:paraId="00100324" w14:textId="00100325">
            <w:r>
              <w:t xml:space="preserve">HP by brand bar, 0-60 scatter, battery vs range scatter</w:t>
            </w:r>
          </w:p>
        </w:tc>
      </w:tr>
      <w:tr>
        <w:trPr/>
        <w:tc>
          <w:p w14:paraId="00100326" w14:textId="00100327">
            <w:r>
              <w:t xml:space="preserve">Safety &amp; Ratings</w:t>
            </w:r>
          </w:p>
        </w:tc>
        <w:tc>
          <w:p w14:paraId="00100328" w14:textId="00100329">
            <w:r>
              <w:t xml:space="preserve">Safety star distribution, customer rating by brand, rating vs price</w:t>
            </w:r>
          </w:p>
        </w:tc>
      </w:tr>
      <w:tr>
        <w:trPr/>
        <w:tc>
          <w:p w14:paraId="0010032A" w14:textId="0010032B">
            <w:r>
              <w:t xml:space="preserve">Country Analysis</w:t>
            </w:r>
          </w:p>
        </w:tc>
        <w:tc>
          <w:p w14:paraId="0010032C" w14:textId="0010032D">
            <w:r>
              <w:t xml:space="preserve">Country sales map, country price comparison, market share</w:t>
            </w:r>
          </w:p>
        </w:tc>
      </w:tr>
      <w:tr>
        <w:trPr/>
        <w:tc>
          <w:p w14:paraId="0010032E" w14:textId="0010032F">
            <w:r>
              <w:t xml:space="preserve">EV Comparison</w:t>
            </w:r>
          </w:p>
        </w:tc>
        <w:tc>
          <w:p w14:paraId="00100330" w14:textId="00100331">
            <w:r>
              <w:t xml:space="preserve">Interactive filterable table of all 2,000 EV records with INR prices</w:t>
            </w:r>
          </w:p>
        </w:tc>
      </w:tr>
    </w:tbl>
    <w:p w14:paraId="00100332" w14:textId="00100333">
      <w:pPr>
        <w:spacing w:before="80" w:after="160"/>
      </w:pPr>
      <w:r>
        <w:rPr>
          <w:sz w:val="20"/>
        </w:rPr>
        <w:t xml:space="preserve">Table 16: Streamlit Dashboard Tab Structure</w:t>
      </w:r>
    </w:p>
    <w:p w14:paraId="00100334" w14:textId="00100335">
      <w:pPr>
        <w:pStyle w:val="Heading2"/>
        <w:spacing w:after="120"/>
      </w:pPr>
      <w:r>
        <w:rPr>
          <w:b/>
          <w:sz w:val="28"/>
        </w:rPr>
        <w:t xml:space="preserve">12.2 Global Filters</w:t>
      </w:r>
    </w:p>
    <w:p w14:paraId="00100336" w14:textId="00100337">
      <w:pPr>
        <w:spacing w:after="240"/>
      </w:pPr>
      <w:r>
        <w:rPr>
          <w:sz w:val="22"/>
        </w:rPr>
        <w:t xml:space="preserve">A sidebar panel provides interactive filters for: Brand (multi-select), Year range (slider), Market Segment (multi-select), Country (multi-select), and Price range in INR (slider). All charts and KPIs update dynamically based on filter selections.</w:t>
      </w:r>
    </w:p>
    <w:p w14:paraId="00100338" w14:textId="00100339">
      <w:pPr>
        <w:pStyle w:val="Heading1"/>
        <w:spacing w:after="160"/>
      </w:pPr>
      <w:r>
        <w:rPr>
          <w:b/>
          <w:sz w:val="36"/>
        </w:rPr>
        <w:t xml:space="preserve">13. Key Insights and Findings</w:t>
      </w:r>
    </w:p>
    <w:p w14:paraId="0010033A" w14:textId="0010033B">
      <w:pPr>
        <w:spacing w:after="120"/>
      </w:pPr>
      <w:r>
        <w:rPr>
          <w:sz w:val="22"/>
        </w:rPr>
        <w:t xml:space="preserve">The following insights are derived from statistical analysis of the 2,000-record dataset:</w:t>
      </w:r>
    </w:p>
    <w:p w14:paraId="0010033C" w14:textId="0010033D">
      <w:pPr>
        <w:numPr>
          <w:ilvl w:val="0"/>
          <w:numId w:val="1"/>
        </w:numPr>
        <w:spacing w:after="80"/>
      </w:pPr>
      <w:r>
        <w:rPr>
          <w:sz w:val="22"/>
        </w:rPr>
        <w:t xml:space="preserve">1. Tesla dominates sales (101M+ units, 38% market share) with an average price of Rs 78.1 Lakhs, demonstrating that premium pricing does not inhibit volume leadership when brand trust and product quality are aligned.</w:t>
      </w:r>
    </w:p>
    <w:p w14:paraId="0010033E" w14:textId="0010033F">
      <w:pPr>
        <w:numPr>
          <w:ilvl w:val="0"/>
          <w:numId w:val="1"/>
        </w:numPr>
        <w:spacing w:after="80"/>
      </w:pPr>
      <w:r>
        <w:rPr>
          <w:sz w:val="22"/>
        </w:rPr>
        <w:t xml:space="preserve">2. 2025 was the peak sales year (87.6M units), with 70 distinct models available - the widest selection in the dataset. Preliminary 2026 data (226 records) shows healthy Rs 70.18L average pricing.</w:t>
      </w:r>
    </w:p>
    <w:p w14:paraId="00100340" w14:textId="00100341">
      <w:pPr>
        <w:numPr>
          <w:ilvl w:val="0"/>
          <w:numId w:val="1"/>
        </w:numPr>
        <w:spacing w:after="80"/>
      </w:pPr>
      <w:r>
        <w:rPr>
          <w:sz w:val="22"/>
        </w:rPr>
        <w:t xml:space="preserve">3. L2 Partial Automation vehicles account for the largest sales volume (99.3M units), confirming that mainstream buyers value practical ADAS features over full autonomy.</w:t>
      </w:r>
    </w:p>
    <w:p w14:paraId="00100342" w14:textId="00100343">
      <w:pPr>
        <w:numPr>
          <w:ilvl w:val="0"/>
          <w:numId w:val="1"/>
        </w:numPr>
        <w:spacing w:after="80"/>
      </w:pPr>
      <w:r>
        <w:rPr>
          <w:sz w:val="22"/>
        </w:rPr>
        <w:t xml:space="preserve">4. Battery capacity has near-linear correlation with range (r ~ 0.88), validating that kWh is the most reliable predictor of driving range across brands and segments.</w:t>
      </w:r>
    </w:p>
    <w:p w14:paraId="00100344" w14:textId="00100345">
      <w:pPr>
        <w:numPr>
          <w:ilvl w:val="0"/>
          <w:numId w:val="1"/>
        </w:numPr>
        <w:spacing w:after="80"/>
      </w:pPr>
      <w:r>
        <w:rPr>
          <w:sz w:val="22"/>
        </w:rPr>
        <w:t xml:space="preserve">5. 5-star safety vehicles lead sales (123M units) and command a slight price premium, indicating the market rewards safety investment. All vehicles in the dataset carry at least a 3-star rating.</w:t>
      </w:r>
    </w:p>
    <w:p w14:paraId="00100346" w14:textId="00100347">
      <w:pPr>
        <w:numPr>
          <w:ilvl w:val="0"/>
          <w:numId w:val="1"/>
        </w:numPr>
        <w:spacing w:after="240"/>
      </w:pPr>
      <w:r>
        <w:rPr>
          <w:sz w:val="22"/>
        </w:rPr>
        <w:t xml:space="preserve">6. Budget segment (Rs 0-25L range) has only 151 models and 23.4M sales - the smallest segment by volume. Growth in this tier will be critical for mass EV adoption in emerging markets.</w:t>
      </w:r>
    </w:p>
    <w:p w14:paraId="00100348" w14:textId="00100349">
      <w:pPr>
        <w:pStyle w:val="Heading1"/>
        <w:spacing w:after="160"/>
      </w:pPr>
      <w:r>
        <w:rPr>
          <w:b/>
          <w:sz w:val="36"/>
        </w:rPr>
        <w:t xml:space="preserve">14. Conclusion</w:t>
      </w:r>
    </w:p>
    <w:p w14:paraId="0010034A" w14:textId="0010034B">
      <w:pPr>
        <w:spacing w:after="160"/>
      </w:pPr>
      <w:r>
        <w:rPr>
          <w:sz w:val="22"/>
        </w:rPr>
        <w:t xml:space="preserve">This project delivers a comprehensive end-to-end EV market analytics solution built on a 2,000-record global dataset spanning 20 brands, 6 countries, and 7 model years (2020-2026). The pipeline covers all stages from raw CSV ingestion with flexible column mapping, through robust data cleaning and INR price conversion, to statistical EDA, chart generation, and an interactive Streamlit dashboard.</w:t>
      </w:r>
    </w:p>
    <w:p w14:paraId="0010034C" w14:textId="0010034D">
      <w:pPr>
        <w:spacing w:after="160"/>
      </w:pPr>
      <w:r>
        <w:rPr>
          <w:sz w:val="22"/>
        </w:rPr>
        <w:t xml:space="preserve">The solution adheres to best practices in data engineering: no data is fabricated, all monetary values use a documented exchange rate (1 USD = Rs 83.50), original USD prices are preserved as price_usd while analysis uses price_inr, and all code is modular, documented, and Windows-compatible via pathlib.</w:t>
      </w:r>
    </w:p>
    <w:p w14:paraId="0010034E" w14:textId="0010034F">
      <w:pPr>
        <w:spacing w:after="160"/>
      </w:pPr>
      <w:r>
        <w:rPr>
          <w:sz w:val="22"/>
        </w:rPr>
        <w:t xml:space="preserve">The deliverables — ev_market_analysis.py, app.py, 13 IBM BI CSVs, 14 chart images, this Word report, a 14-slide PowerPoint presentation, and a GitHub repository — provide a production-ready analytics package suitable for executive review, business intelligence integration, and further modelling work.</w:t>
      </w:r>
    </w:p>
    <w:p w14:paraId="00100350" w14:textId="00100351">
      <w:pPr>
        <w:spacing w:after="240"/>
      </w:pPr>
      <w:r>
        <w:rPr>
          <w:sz w:val="20"/>
        </w:rPr>
        <w:t xml:space="preserve">Exchange Rate Documentation: 1 USD = Rs 83.50 (INR). This rate is stored as the constant USD_TO_INR in ev_market_analysis.py (line ~20) and applied once via df['price_inr'] = df['price_usd'] * USD_TO_INR. It is never hardcoded anywhere else in the codebase.</w:t>
      </w:r>
    </w:p>
    <w:p w14:paraId="00100354" w14:textId="00100355">
      <w:pPr>
        <w:pStyle w:val="Heading2"/>
        <w:spacing w:after="120"/>
      </w:pPr>
      <w:r>
        <w:rPr>
          <w:b/>
          <w:sz w:val="28"/>
        </w:rPr>
        <w:t xml:space="preserve">A.1 Sales Trend 2020-2026</w:t>
      </w:r>
    </w:p>
    <w:p w14:paraId="00100356" w14:textId="00100357">
      <w:pPr>
        <w:spacing w:line="240" w:lineRule="auto"/>
      </w:pPr>
      <w:r>
        <w:drawing>
          <wp:inline distT="0" distB="0" distL="0" distR="0">
            <wp:extent cx="5400000" cy="3240000"/>
            <wp:effectExtent l="0" t="0" r="0" b="0"/>
            <wp:docPr id="1" name="chart_sales_trend.png" descr=""/>
            <wp:cNvGraphicFramePr>
              <a:graphicFrameLocks noChangeAspect="1"/>
            </wp:cNvGraphicFramePr>
            <a:graphic>
              <a:graphicData uri="http://schemas.openxmlformats.org/drawingml/2006/picture">
                <pic:pic>
                  <pic:nvPicPr>
                    <pic:cNvPr id="1" name="chart_sales_trend.png"/>
                    <pic:cNvPicPr/>
                  </pic:nvPicPr>
                  <pic:blipFill>
                    <a:blip r:embed="R00b55e9c02694ec6" cstate="print"/>
                    <a:stretch>
                      <a:fillRect/>
                    </a:stretch>
                  </pic:blipFill>
                  <pic:spPr>
                    <a:xfrm>
                      <a:off x="0" y="0"/>
                      <a:ext cx="5400000" cy="3240000"/>
                    </a:xfrm>
                    <a:prstGeom prst="rect">
                      <a:avLst/>
                    </a:prstGeom>
                  </pic:spPr>
                </pic:pic>
              </a:graphicData>
            </a:graphic>
          </wp:inline>
        </w:drawing>
      </w:r>
    </w:p>
    <w:p w14:paraId="00100358" w14:textId="00100359">
      <w:pPr>
        <w:spacing w:before="80" w:after="240"/>
      </w:pPr>
      <w:r>
        <w:rPr>
          <w:sz w:val="20"/>
        </w:rPr>
        <w:t xml:space="preserve">Fig 1: EV Sales Trend by Year (2020-2026). Source: ev_market_2026.csv</w:t>
      </w:r>
    </w:p>
    <w:p w14:paraId="0010035A" w14:textId="0010035B">
      <w:pPr>
        <w:pStyle w:val="Heading2"/>
        <w:spacing w:after="120"/>
      </w:pPr>
      <w:r>
        <w:rPr>
          <w:b/>
          <w:sz w:val="28"/>
        </w:rPr>
        <w:t xml:space="preserve">A.2 Brand Sales Comparison</w:t>
      </w:r>
    </w:p>
    <w:p w14:paraId="0010035C" w14:textId="0010035D">
      <w:pPr>
        <w:spacing w:line="240" w:lineRule="auto"/>
      </w:pPr>
      <w:r>
        <w:drawing>
          <wp:inline distT="0" distB="0" distL="0" distR="0">
            <wp:extent cx="5400000" cy="3240000"/>
            <wp:effectExtent l="0" t="0" r="0" b="0"/>
            <wp:docPr id="2" name="chart_brand_sales.png" descr=""/>
            <wp:cNvGraphicFramePr>
              <a:graphicFrameLocks noChangeAspect="1"/>
            </wp:cNvGraphicFramePr>
            <a:graphic>
              <a:graphicData uri="http://schemas.openxmlformats.org/drawingml/2006/picture">
                <pic:pic>
                  <pic:nvPicPr>
                    <pic:cNvPr id="2" name="chart_brand_sales.png"/>
                    <pic:cNvPicPr/>
                  </pic:nvPicPr>
                  <pic:blipFill>
                    <a:blip r:embed="Rb5a8e71275e14390" cstate="print"/>
                    <a:stretch>
                      <a:fillRect/>
                    </a:stretch>
                  </pic:blipFill>
                  <pic:spPr>
                    <a:xfrm>
                      <a:off x="0" y="0"/>
                      <a:ext cx="5400000" cy="3240000"/>
                    </a:xfrm>
                    <a:prstGeom prst="rect">
                      <a:avLst/>
                    </a:prstGeom>
                  </pic:spPr>
                </pic:pic>
              </a:graphicData>
            </a:graphic>
          </wp:inline>
        </w:drawing>
      </w:r>
    </w:p>
    <w:p w14:paraId="0010035E" w14:textId="0010035F">
      <w:pPr>
        <w:spacing w:before="80" w:after="240"/>
      </w:pPr>
      <w:r>
        <w:rPr>
          <w:sz w:val="20"/>
        </w:rPr>
        <w:t xml:space="preserve">Fig 2: Total Sales by Brand. Tesla leads with 101M+ units.</w:t>
      </w:r>
    </w:p>
    <w:p w14:paraId="00100360" w14:textId="00100361">
      <w:pPr>
        <w:pStyle w:val="Heading2"/>
        <w:spacing w:after="120"/>
      </w:pPr>
      <w:r>
        <w:rPr>
          <w:b/>
          <w:sz w:val="28"/>
        </w:rPr>
        <w:t xml:space="preserve">A.3 Market Segment Distribution</w:t>
      </w:r>
    </w:p>
    <w:p w14:paraId="00100362" w14:textId="00100363">
      <w:pPr>
        <w:spacing w:line="240" w:lineRule="auto"/>
      </w:pPr>
      <w:r>
        <w:drawing>
          <wp:inline distT="0" distB="0" distL="0" distR="0">
            <wp:extent cx="4320000" cy="3240000"/>
            <wp:effectExtent l="0" t="0" r="0" b="0"/>
            <wp:docPr id="3" name="chart_segment_pie.png" descr=""/>
            <wp:cNvGraphicFramePr>
              <a:graphicFrameLocks noChangeAspect="1"/>
            </wp:cNvGraphicFramePr>
            <a:graphic>
              <a:graphicData uri="http://schemas.openxmlformats.org/drawingml/2006/picture">
                <pic:pic>
                  <pic:nvPicPr>
                    <pic:cNvPr id="3" name="chart_segment_pie.png"/>
                    <pic:cNvPicPr/>
                  </pic:nvPicPr>
                  <pic:blipFill>
                    <a:blip r:embed="R826810558f3947ae" cstate="print"/>
                    <a:stretch>
                      <a:fillRect/>
                    </a:stretch>
                  </pic:blipFill>
                  <pic:spPr>
                    <a:xfrm>
                      <a:off x="0" y="0"/>
                      <a:ext cx="4320000" cy="3240000"/>
                    </a:xfrm>
                    <a:prstGeom prst="rect">
                      <a:avLst/>
                    </a:prstGeom>
                  </pic:spPr>
                </pic:pic>
              </a:graphicData>
            </a:graphic>
          </wp:inline>
        </w:drawing>
      </w:r>
    </w:p>
    <w:p w14:paraId="00100364" w14:textId="00100365">
      <w:pPr>
        <w:spacing w:before="80" w:after="240"/>
      </w:pPr>
      <w:r>
        <w:rPr>
          <w:sz w:val="20"/>
        </w:rPr>
        <w:t xml:space="preserve">Fig 3: Market Segment Distribution (% of total models).</w:t>
      </w:r>
    </w:p>
    <w:p w14:paraId="00100366" w14:textId="00100367">
      <w:pPr>
        <w:pStyle w:val="Heading2"/>
        <w:spacing w:after="120"/>
      </w:pPr>
      <w:r>
        <w:rPr>
          <w:b/>
          <w:sz w:val="28"/>
        </w:rPr>
        <w:t xml:space="preserve">A.4 Segment Prices (INR)</w:t>
      </w:r>
    </w:p>
    <w:p w14:paraId="00100368" w14:textId="00100369">
      <w:pPr>
        <w:spacing w:line="240" w:lineRule="auto"/>
      </w:pPr>
      <w:r>
        <w:drawing>
          <wp:inline distT="0" distB="0" distL="0" distR="0">
            <wp:extent cx="5400000" cy="3240000"/>
            <wp:effectExtent l="0" t="0" r="0" b="0"/>
            <wp:docPr id="4" name="chart_segment_price.png" descr=""/>
            <wp:cNvGraphicFramePr>
              <a:graphicFrameLocks noChangeAspect="1"/>
            </wp:cNvGraphicFramePr>
            <a:graphic>
              <a:graphicData uri="http://schemas.openxmlformats.org/drawingml/2006/picture">
                <pic:pic>
                  <pic:nvPicPr>
                    <pic:cNvPr id="4" name="chart_segment_price.png"/>
                    <pic:cNvPicPr/>
                  </pic:nvPicPr>
                  <pic:blipFill>
                    <a:blip r:embed="R81516c869ae14ddd" cstate="print"/>
                    <a:stretch>
                      <a:fillRect/>
                    </a:stretch>
                  </pic:blipFill>
                  <pic:spPr>
                    <a:xfrm>
                      <a:off x="0" y="0"/>
                      <a:ext cx="5400000" cy="3240000"/>
                    </a:xfrm>
                    <a:prstGeom prst="rect">
                      <a:avLst/>
                    </a:prstGeom>
                  </pic:spPr>
                </pic:pic>
              </a:graphicData>
            </a:graphic>
          </wp:inline>
        </w:drawing>
      </w:r>
    </w:p>
    <w:p w14:paraId="0010036A" w14:textId="0010036B">
      <w:pPr>
        <w:spacing w:before="80" w:after="240"/>
      </w:pPr>
      <w:r>
        <w:rPr>
          <w:sz w:val="20"/>
        </w:rPr>
        <w:t xml:space="preserve">Fig 4: Average Price by Segment in INR. Exchange rate: 1 USD = Rs 83.50.</w:t>
      </w:r>
    </w:p>
    <w:p w14:paraId="0010036C" w14:textId="0010036D">
      <w:pPr>
        <w:pStyle w:val="Heading2"/>
        <w:spacing w:after="120"/>
      </w:pPr>
      <w:r>
        <w:rPr>
          <w:b/>
          <w:sz w:val="28"/>
        </w:rPr>
        <w:t xml:space="preserve">A.5 Price vs Range</w:t>
      </w:r>
    </w:p>
    <w:p w14:paraId="0010036E" w14:textId="0010036F">
      <w:pPr>
        <w:spacing w:line="240" w:lineRule="auto"/>
      </w:pPr>
      <w:r>
        <w:drawing>
          <wp:inline distT="0" distB="0" distL="0" distR="0">
            <wp:extent cx="5400000" cy="3240000"/>
            <wp:effectExtent l="0" t="0" r="0" b="0"/>
            <wp:docPr id="5" name="chart_price_range_scatter.png" descr=""/>
            <wp:cNvGraphicFramePr>
              <a:graphicFrameLocks noChangeAspect="1"/>
            </wp:cNvGraphicFramePr>
            <a:graphic>
              <a:graphicData uri="http://schemas.openxmlformats.org/drawingml/2006/picture">
                <pic:pic>
                  <pic:nvPicPr>
                    <pic:cNvPr id="5" name="chart_price_range_scatter.png"/>
                    <pic:cNvPicPr/>
                  </pic:nvPicPr>
                  <pic:blipFill>
                    <a:blip r:embed="Rc51de8a1781b423f" cstate="print"/>
                    <a:stretch>
                      <a:fillRect/>
                    </a:stretch>
                  </pic:blipFill>
                  <pic:spPr>
                    <a:xfrm>
                      <a:off x="0" y="0"/>
                      <a:ext cx="5400000" cy="3240000"/>
                    </a:xfrm>
                    <a:prstGeom prst="rect">
                      <a:avLst/>
                    </a:prstGeom>
                  </pic:spPr>
                </pic:pic>
              </a:graphicData>
            </a:graphic>
          </wp:inline>
        </w:drawing>
      </w:r>
    </w:p>
    <w:p w14:paraId="00100370" w14:textId="00100371">
      <w:pPr>
        <w:spacing w:before="80" w:after="240"/>
      </w:pPr>
      <w:r>
        <w:rPr>
          <w:sz w:val="20"/>
        </w:rPr>
        <w:t xml:space="preserve">Fig 5: Price (INR) vs Range (miles). Moderate correlation r ~ 0.35.</w:t>
      </w:r>
    </w:p>
    <w:p w14:paraId="00100372" w14:textId="00100373">
      <w:pPr>
        <w:pStyle w:val="Heading2"/>
        <w:spacing w:after="120"/>
      </w:pPr>
      <w:r>
        <w:rPr>
          <w:b/>
          <w:sz w:val="28"/>
        </w:rPr>
        <w:t xml:space="preserve">A.6 Battery vs Range</w:t>
      </w:r>
    </w:p>
    <w:p w14:paraId="00100374" w14:textId="00100375">
      <w:pPr>
        <w:spacing w:line="240" w:lineRule="auto"/>
      </w:pPr>
      <w:r>
        <w:drawing>
          <wp:inline distT="0" distB="0" distL="0" distR="0">
            <wp:extent cx="5400000" cy="3240000"/>
            <wp:effectExtent l="0" t="0" r="0" b="0"/>
            <wp:docPr id="6" name="chart_battery_range.png" descr=""/>
            <wp:cNvGraphicFramePr>
              <a:graphicFrameLocks noChangeAspect="1"/>
            </wp:cNvGraphicFramePr>
            <a:graphic>
              <a:graphicData uri="http://schemas.openxmlformats.org/drawingml/2006/picture">
                <pic:pic>
                  <pic:nvPicPr>
                    <pic:cNvPr id="6" name="chart_battery_range.png"/>
                    <pic:cNvPicPr/>
                  </pic:nvPicPr>
                  <pic:blipFill>
                    <a:blip r:embed="Rf4ae886b10974545" cstate="print"/>
                    <a:stretch>
                      <a:fillRect/>
                    </a:stretch>
                  </pic:blipFill>
                  <pic:spPr>
                    <a:xfrm>
                      <a:off x="0" y="0"/>
                      <a:ext cx="5400000" cy="3240000"/>
                    </a:xfrm>
                    <a:prstGeom prst="rect">
                      <a:avLst/>
                    </a:prstGeom>
                  </pic:spPr>
                </pic:pic>
              </a:graphicData>
            </a:graphic>
          </wp:inline>
        </w:drawing>
      </w:r>
    </w:p>
    <w:p w14:paraId="00100376" w14:textId="00100377">
      <w:pPr>
        <w:spacing w:before="80" w:after="240"/>
      </w:pPr>
      <w:r>
        <w:rPr>
          <w:sz w:val="20"/>
        </w:rPr>
        <w:t xml:space="preserve">Fig 6: Battery Capacity (kWh) vs Driving Range. Strong correlation r ~ 0.88.</w:t>
      </w:r>
    </w:p>
    <w:p w14:paraId="00100378" w14:textId="00100379">
      <w:pPr>
        <w:pStyle w:val="Heading2"/>
        <w:spacing w:after="120"/>
      </w:pPr>
      <w:r>
        <w:rPr>
          <w:b/>
          <w:sz w:val="28"/>
        </w:rPr>
        <w:t xml:space="preserve">A.7 Autopilot Distribution</w:t>
      </w:r>
    </w:p>
    <w:p w14:paraId="0010037A" w14:textId="0010037B">
      <w:pPr>
        <w:spacing w:line="240" w:lineRule="auto"/>
      </w:pPr>
      <w:r>
        <w:drawing>
          <wp:inline distT="0" distB="0" distL="0" distR="0">
            <wp:extent cx="4320000" cy="3240000"/>
            <wp:effectExtent l="0" t="0" r="0" b="0"/>
            <wp:docPr id="7" name="chart_autopilot.png" descr=""/>
            <wp:cNvGraphicFramePr>
              <a:graphicFrameLocks noChangeAspect="1"/>
            </wp:cNvGraphicFramePr>
            <a:graphic>
              <a:graphicData uri="http://schemas.openxmlformats.org/drawingml/2006/picture">
                <pic:pic>
                  <pic:nvPicPr>
                    <pic:cNvPr id="7" name="chart_autopilot.png"/>
                    <pic:cNvPicPr/>
                  </pic:nvPicPr>
                  <pic:blipFill>
                    <a:blip r:embed="Rece5ab3bd9fd439e" cstate="print"/>
                    <a:stretch>
                      <a:fillRect/>
                    </a:stretch>
                  </pic:blipFill>
                  <pic:spPr>
                    <a:xfrm>
                      <a:off x="0" y="0"/>
                      <a:ext cx="4320000" cy="3240000"/>
                    </a:xfrm>
                    <a:prstGeom prst="rect">
                      <a:avLst/>
                    </a:prstGeom>
                  </pic:spPr>
                </pic:pic>
              </a:graphicData>
            </a:graphic>
          </wp:inline>
        </w:drawing>
      </w:r>
    </w:p>
    <w:p w14:paraId="0010037C" w14:textId="0010037D">
      <w:pPr>
        <w:spacing w:before="80" w:after="240"/>
      </w:pPr>
      <w:r>
        <w:rPr>
          <w:sz w:val="20"/>
        </w:rPr>
        <w:t xml:space="preserve">Fig 7: Autopilot Level Distribution (L0-L3) across 2,000 vehicles.</w:t>
      </w:r>
    </w:p>
    <w:p w14:paraId="0010037E" w14:textId="0010037F">
      <w:pPr>
        <w:pStyle w:val="Heading2"/>
        <w:spacing w:after="120"/>
      </w:pPr>
      <w:r>
        <w:rPr>
          <w:b/>
          <w:sz w:val="28"/>
        </w:rPr>
        <w:t xml:space="preserve">A.8 Charging Speed by Brand</w:t>
      </w:r>
    </w:p>
    <w:p w14:paraId="00100380" w14:textId="00100381">
      <w:pPr>
        <w:spacing w:line="240" w:lineRule="auto"/>
      </w:pPr>
      <w:r>
        <w:drawing>
          <wp:inline distT="0" distB="0" distL="0" distR="0">
            <wp:extent cx="5400000" cy="3240000"/>
            <wp:effectExtent l="0" t="0" r="0" b="0"/>
            <wp:docPr id="8" name="chart_charging.png" descr=""/>
            <wp:cNvGraphicFramePr>
              <a:graphicFrameLocks noChangeAspect="1"/>
            </wp:cNvGraphicFramePr>
            <a:graphic>
              <a:graphicData uri="http://schemas.openxmlformats.org/drawingml/2006/picture">
                <pic:pic>
                  <pic:nvPicPr>
                    <pic:cNvPr id="8" name="chart_charging.png"/>
                    <pic:cNvPicPr/>
                  </pic:nvPicPr>
                  <pic:blipFill>
                    <a:blip r:embed="R500fe108a76e4fbb" cstate="print"/>
                    <a:stretch>
                      <a:fillRect/>
                    </a:stretch>
                  </pic:blipFill>
                  <pic:spPr>
                    <a:xfrm>
                      <a:off x="0" y="0"/>
                      <a:ext cx="5400000" cy="3240000"/>
                    </a:xfrm>
                    <a:prstGeom prst="rect">
                      <a:avLst/>
                    </a:prstGeom>
                  </pic:spPr>
                </pic:pic>
              </a:graphicData>
            </a:graphic>
          </wp:inline>
        </w:drawing>
      </w:r>
    </w:p>
    <w:p w14:paraId="00100382" w14:textId="00100383">
      <w:pPr>
        <w:spacing w:before="80" w:after="240"/>
      </w:pPr>
      <w:r>
        <w:rPr>
          <w:sz w:val="20"/>
        </w:rPr>
        <w:t xml:space="preserve">Fig 8: Average Fast-Charging Speed (kW) by Brand.</w:t>
      </w:r>
    </w:p>
    <w:p w14:paraId="00100384" w14:textId="00100385">
      <w:pPr>
        <w:pStyle w:val="Heading2"/>
        <w:spacing w:after="120"/>
      </w:pPr>
      <w:r>
        <w:rPr>
          <w:b/>
          <w:sz w:val="28"/>
        </w:rPr>
        <w:t xml:space="preserve">A.9 Horsepower by Brand</w:t>
      </w:r>
    </w:p>
    <w:p w14:paraId="00100386" w14:textId="00100387">
      <w:pPr>
        <w:spacing w:line="240" w:lineRule="auto"/>
      </w:pPr>
      <w:r>
        <w:drawing>
          <wp:inline distT="0" distB="0" distL="0" distR="0">
            <wp:extent cx="5400000" cy="3240000"/>
            <wp:effectExtent l="0" t="0" r="0" b="0"/>
            <wp:docPr id="9" name="chart_hp_brand.png" descr=""/>
            <wp:cNvGraphicFramePr>
              <a:graphicFrameLocks noChangeAspect="1"/>
            </wp:cNvGraphicFramePr>
            <a:graphic>
              <a:graphicData uri="http://schemas.openxmlformats.org/drawingml/2006/picture">
                <pic:pic>
                  <pic:nvPicPr>
                    <pic:cNvPr id="9" name="chart_hp_brand.png"/>
                    <pic:cNvPicPr/>
                  </pic:nvPicPr>
                  <pic:blipFill>
                    <a:blip r:embed="R18978f2319174623" cstate="print"/>
                    <a:stretch>
                      <a:fillRect/>
                    </a:stretch>
                  </pic:blipFill>
                  <pic:spPr>
                    <a:xfrm>
                      <a:off x="0" y="0"/>
                      <a:ext cx="5400000" cy="3240000"/>
                    </a:xfrm>
                    <a:prstGeom prst="rect">
                      <a:avLst/>
                    </a:prstGeom>
                  </pic:spPr>
                </pic:pic>
              </a:graphicData>
            </a:graphic>
          </wp:inline>
        </w:drawing>
      </w:r>
    </w:p>
    <w:p w14:paraId="00100388" w14:textId="00100389">
      <w:pPr>
        <w:spacing w:before="80" w:after="240"/>
      </w:pPr>
      <w:r>
        <w:rPr>
          <w:sz w:val="20"/>
        </w:rPr>
        <w:t xml:space="preserve">Fig 9: Average Horsepower by Brand. Performance leaders: Tesla, Porsche, Lucid.</w:t>
      </w:r>
    </w:p>
    <w:p w14:paraId="0010038A" w14:textId="0010038B">
      <w:pPr>
        <w:pStyle w:val="Heading2"/>
        <w:spacing w:after="120"/>
      </w:pPr>
      <w:r>
        <w:rPr>
          <w:b/>
          <w:sz w:val="28"/>
        </w:rPr>
        <w:t xml:space="preserve">A.10 Acceleration (0-60 mph)</w:t>
      </w:r>
    </w:p>
    <w:p w14:paraId="0010038C" w14:textId="0010038D">
      <w:pPr>
        <w:spacing w:line="240" w:lineRule="auto"/>
      </w:pPr>
      <w:r>
        <w:drawing>
          <wp:inline distT="0" distB="0" distL="0" distR="0">
            <wp:extent cx="5400000" cy="3240000"/>
            <wp:effectExtent l="0" t="0" r="0" b="0"/>
            <wp:docPr id="10" name="chart_0_60.png" descr=""/>
            <wp:cNvGraphicFramePr>
              <a:graphicFrameLocks noChangeAspect="1"/>
            </wp:cNvGraphicFramePr>
            <a:graphic>
              <a:graphicData uri="http://schemas.openxmlformats.org/drawingml/2006/picture">
                <pic:pic>
                  <pic:nvPicPr>
                    <pic:cNvPr id="10" name="chart_0_60.png"/>
                    <pic:cNvPicPr/>
                  </pic:nvPicPr>
                  <pic:blipFill>
                    <a:blip r:embed="Rf63f1d9ff3c6488e" cstate="print"/>
                    <a:stretch>
                      <a:fillRect/>
                    </a:stretch>
                  </pic:blipFill>
                  <pic:spPr>
                    <a:xfrm>
                      <a:off x="0" y="0"/>
                      <a:ext cx="5400000" cy="3240000"/>
                    </a:xfrm>
                    <a:prstGeom prst="rect">
                      <a:avLst/>
                    </a:prstGeom>
                  </pic:spPr>
                </pic:pic>
              </a:graphicData>
            </a:graphic>
          </wp:inline>
        </w:drawing>
      </w:r>
    </w:p>
    <w:p w14:paraId="0010038E" w14:textId="0010038F">
      <w:pPr>
        <w:spacing w:before="80" w:after="240"/>
      </w:pPr>
      <w:r>
        <w:rPr>
          <w:sz w:val="20"/>
        </w:rPr>
        <w:t xml:space="preserve">Fig 10: Average 0-60 mph Time by Brand (seconds). Lower is faster.</w:t>
      </w:r>
    </w:p>
    <w:p w14:paraId="00100390" w14:textId="00100391">
      <w:pPr>
        <w:pStyle w:val="Heading2"/>
        <w:spacing w:after="120"/>
      </w:pPr>
      <w:r>
        <w:rPr>
          <w:b/>
          <w:sz w:val="28"/>
        </w:rPr>
        <w:t xml:space="preserve">A.11 Safety Rating Distribution</w:t>
      </w:r>
    </w:p>
    <w:p w14:paraId="00100392" w14:textId="00100393">
      <w:pPr>
        <w:spacing w:line="240" w:lineRule="auto"/>
      </w:pPr>
      <w:r>
        <w:drawing>
          <wp:inline distT="0" distB="0" distL="0" distR="0">
            <wp:extent cx="4320000" cy="3240000"/>
            <wp:effectExtent l="0" t="0" r="0" b="0"/>
            <wp:docPr id="11" name="chart_safety_dist.png" descr=""/>
            <wp:cNvGraphicFramePr>
              <a:graphicFrameLocks noChangeAspect="1"/>
            </wp:cNvGraphicFramePr>
            <a:graphic>
              <a:graphicData uri="http://schemas.openxmlformats.org/drawingml/2006/picture">
                <pic:pic>
                  <pic:nvPicPr>
                    <pic:cNvPr id="11" name="chart_safety_dist.png"/>
                    <pic:cNvPicPr/>
                  </pic:nvPicPr>
                  <pic:blipFill>
                    <a:blip r:embed="R0ff1e3db04b54fc5" cstate="print"/>
                    <a:stretch>
                      <a:fillRect/>
                    </a:stretch>
                  </pic:blipFill>
                  <pic:spPr>
                    <a:xfrm>
                      <a:off x="0" y="0"/>
                      <a:ext cx="4320000" cy="3240000"/>
                    </a:xfrm>
                    <a:prstGeom prst="rect">
                      <a:avLst/>
                    </a:prstGeom>
                  </pic:spPr>
                </pic:pic>
              </a:graphicData>
            </a:graphic>
          </wp:inline>
        </w:drawing>
      </w:r>
    </w:p>
    <w:p w14:paraId="00100394" w14:textId="00100395">
      <w:pPr>
        <w:spacing w:before="80" w:after="240"/>
      </w:pPr>
      <w:r>
        <w:rPr>
          <w:sz w:val="20"/>
        </w:rPr>
        <w:t xml:space="preserve">Fig 11: Safety Rating (Stars) Distribution across 2,000 vehicles.</w:t>
      </w:r>
    </w:p>
    <w:p w14:paraId="00100396" w14:textId="00100397">
      <w:pPr>
        <w:pStyle w:val="Heading2"/>
        <w:spacing w:after="120"/>
      </w:pPr>
      <w:r>
        <w:rPr>
          <w:b/>
          <w:sz w:val="28"/>
        </w:rPr>
        <w:t xml:space="preserve">A.12 Customer Rating by Brand</w:t>
      </w:r>
    </w:p>
    <w:p w14:paraId="00100398" w14:textId="00100399">
      <w:pPr>
        <w:spacing w:line="240" w:lineRule="auto"/>
      </w:pPr>
      <w:r>
        <w:drawing>
          <wp:inline distT="0" distB="0" distL="0" distR="0">
            <wp:extent cx="5400000" cy="3240000"/>
            <wp:effectExtent l="0" t="0" r="0" b="0"/>
            <wp:docPr id="12" name="chart_customer_rating.png" descr=""/>
            <wp:cNvGraphicFramePr>
              <a:graphicFrameLocks noChangeAspect="1"/>
            </wp:cNvGraphicFramePr>
            <a:graphic>
              <a:graphicData uri="http://schemas.openxmlformats.org/drawingml/2006/picture">
                <pic:pic>
                  <pic:nvPicPr>
                    <pic:cNvPr id="12" name="chart_customer_rating.png"/>
                    <pic:cNvPicPr/>
                  </pic:nvPicPr>
                  <pic:blipFill>
                    <a:blip r:embed="R86b52d3be6714895" cstate="print"/>
                    <a:stretch>
                      <a:fillRect/>
                    </a:stretch>
                  </pic:blipFill>
                  <pic:spPr>
                    <a:xfrm>
                      <a:off x="0" y="0"/>
                      <a:ext cx="5400000" cy="3240000"/>
                    </a:xfrm>
                    <a:prstGeom prst="rect">
                      <a:avLst/>
                    </a:prstGeom>
                  </pic:spPr>
                </pic:pic>
              </a:graphicData>
            </a:graphic>
          </wp:inline>
        </w:drawing>
      </w:r>
    </w:p>
    <w:p w14:paraId="0010039A" w14:textId="0010039B">
      <w:pPr>
        <w:spacing w:before="80" w:after="240"/>
      </w:pPr>
      <w:r>
        <w:rPr>
          <w:sz w:val="20"/>
        </w:rPr>
        <w:t xml:space="preserve">Fig 12: Average Customer Rating by Brand (1-5 scale). Porsche and Mercedes lead.</w:t>
      </w:r>
    </w:p>
    <w:p w14:paraId="0010039C" w14:textId="0010039D">
      <w:pPr>
        <w:pStyle w:val="Heading2"/>
        <w:spacing w:after="120"/>
      </w:pPr>
      <w:r>
        <w:rPr>
          <w:b/>
          <w:sz w:val="28"/>
        </w:rPr>
        <w:t xml:space="preserve">A.13 Value Segment Analysis</w:t>
      </w:r>
    </w:p>
    <w:p w14:paraId="0010039E" w14:textId="0010039F">
      <w:pPr>
        <w:spacing w:line="240" w:lineRule="auto"/>
      </w:pPr>
      <w:r>
        <w:drawing>
          <wp:inline distT="0" distB="0" distL="0" distR="0">
            <wp:extent cx="5400000" cy="3240000"/>
            <wp:effectExtent l="0" t="0" r="0" b="0"/>
            <wp:docPr id="13" name="chart_value_segment.png" descr=""/>
            <wp:cNvGraphicFramePr>
              <a:graphicFrameLocks noChangeAspect="1"/>
            </wp:cNvGraphicFramePr>
            <a:graphic>
              <a:graphicData uri="http://schemas.openxmlformats.org/drawingml/2006/picture">
                <pic:pic>
                  <pic:nvPicPr>
                    <pic:cNvPr id="13" name="chart_value_segment.png"/>
                    <pic:cNvPicPr/>
                  </pic:nvPicPr>
                  <pic:blipFill>
                    <a:blip r:embed="R8dcab5e1939c4ff0" cstate="print"/>
                    <a:stretch>
                      <a:fillRect/>
                    </a:stretch>
                  </pic:blipFill>
                  <pic:spPr>
                    <a:xfrm>
                      <a:off x="0" y="0"/>
                      <a:ext cx="5400000" cy="3240000"/>
                    </a:xfrm>
                    <a:prstGeom prst="rect">
                      <a:avLst/>
                    </a:prstGeom>
                  </pic:spPr>
                </pic:pic>
              </a:graphicData>
            </a:graphic>
          </wp:inline>
        </w:drawing>
      </w:r>
    </w:p>
    <w:p w14:paraId="001003A0" w14:textId="001003A1">
      <w:pPr>
        <w:spacing w:before="80" w:after="240"/>
      </w:pPr>
      <w:r>
        <w:rPr>
          <w:sz w:val="20"/>
        </w:rPr>
        <w:t xml:space="preserve">Fig 13: Range per Rs 10,000 by Market Segment (value-efficiency metric).</w:t>
      </w:r>
    </w:p>
    <w:p w14:paraId="001003A2" w14:textId="001003A3">
      <w:pPr>
        <w:pStyle w:val="Heading2"/>
        <w:spacing w:after="120"/>
      </w:pPr>
      <w:r>
        <w:rPr>
          <w:b/>
          <w:sz w:val="28"/>
        </w:rPr>
        <w:t xml:space="preserve">A.14 Drive Type Distribution</w:t>
      </w:r>
    </w:p>
    <w:p w14:paraId="001003A4" w14:textId="001003A5">
      <w:pPr>
        <w:spacing w:line="240" w:lineRule="auto"/>
      </w:pPr>
      <w:r>
        <w:drawing>
          <wp:inline distT="0" distB="0" distL="0" distR="0">
            <wp:extent cx="4320000" cy="3240000"/>
            <wp:effectExtent l="0" t="0" r="0" b="0"/>
            <wp:docPr id="14" name="chart_drive_type.png" descr=""/>
            <wp:cNvGraphicFramePr>
              <a:graphicFrameLocks noChangeAspect="1"/>
            </wp:cNvGraphicFramePr>
            <a:graphic>
              <a:graphicData uri="http://schemas.openxmlformats.org/drawingml/2006/picture">
                <pic:pic>
                  <pic:nvPicPr>
                    <pic:cNvPr id="14" name="chart_drive_type.png"/>
                    <pic:cNvPicPr/>
                  </pic:nvPicPr>
                  <pic:blipFill>
                    <a:blip r:embed="R7c8a14b85bcc4a0f" cstate="print"/>
                    <a:stretch>
                      <a:fillRect/>
                    </a:stretch>
                  </pic:blipFill>
                  <pic:spPr>
                    <a:xfrm>
                      <a:off x="0" y="0"/>
                      <a:ext cx="4320000" cy="3240000"/>
                    </a:xfrm>
                    <a:prstGeom prst="rect">
                      <a:avLst/>
                    </a:prstGeom>
                  </pic:spPr>
                </pic:pic>
              </a:graphicData>
            </a:graphic>
          </wp:inline>
        </w:drawing>
      </w:r>
    </w:p>
    <w:p w14:paraId="001003A6" w14:textId="001003A7">
      <w:pPr>
        <w:spacing w:before="80" w:after="240"/>
      </w:pPr>
      <w:r>
        <w:rPr>
          <w:sz w:val="20"/>
        </w:rPr>
        <w:t xml:space="preserve">Fig 14: AWD / FWD / RWD Drive Type Distribution across 2,000 vehicles.</w:t>
      </w:r>
    </w:p>
    <w:sectPr>
      <w:footerReference w:type="default" r:id="Re4fd63b201d94e52"/>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352" w14:textId="00100353">
    <w:pP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81820dde713e43b9" /><Relationship Type="http://schemas.openxmlformats.org/officeDocument/2006/relationships/styles" Target="/word/styles.xml" Id="Rd76e8e52130145cf" /><Relationship Type="http://schemas.openxmlformats.org/officeDocument/2006/relationships/theme" Target="/word/theme/theme1.xml" Id="Rce64d9ed06664599" /><Relationship Type="http://schemas.openxmlformats.org/officeDocument/2006/relationships/numbering" Target="/word/numbering.xml" Id="Ra8fe27cb323f4b33" /><Relationship Type="http://schemas.openxmlformats.org/officeDocument/2006/relationships/footer" Target="/word/footer1.xml" Id="Re4fd63b201d94e52" /><Relationship Type="http://schemas.openxmlformats.org/officeDocument/2006/relationships/image" Target="/media/image.png" Id="R00b55e9c02694ec6" /><Relationship Type="http://schemas.openxmlformats.org/officeDocument/2006/relationships/image" Target="/media/image2.png" Id="Rb5a8e71275e14390" /><Relationship Type="http://schemas.openxmlformats.org/officeDocument/2006/relationships/image" Target="/media/image3.png" Id="R826810558f3947ae" /><Relationship Type="http://schemas.openxmlformats.org/officeDocument/2006/relationships/image" Target="/media/image4.png" Id="R81516c869ae14ddd" /><Relationship Type="http://schemas.openxmlformats.org/officeDocument/2006/relationships/image" Target="/media/image5.png" Id="Rc51de8a1781b423f" /><Relationship Type="http://schemas.openxmlformats.org/officeDocument/2006/relationships/image" Target="/media/image6.png" Id="Rf4ae886b10974545" /><Relationship Type="http://schemas.openxmlformats.org/officeDocument/2006/relationships/image" Target="/media/image7.png" Id="Rece5ab3bd9fd439e" /><Relationship Type="http://schemas.openxmlformats.org/officeDocument/2006/relationships/image" Target="/media/image8.png" Id="R500fe108a76e4fbb" /><Relationship Type="http://schemas.openxmlformats.org/officeDocument/2006/relationships/image" Target="/media/image9.png" Id="R18978f2319174623" /><Relationship Type="http://schemas.openxmlformats.org/officeDocument/2006/relationships/image" Target="/media/image10.png" Id="Rf63f1d9ff3c6488e" /><Relationship Type="http://schemas.openxmlformats.org/officeDocument/2006/relationships/image" Target="/media/image11.png" Id="R0ff1e3db04b54fc5" /><Relationship Type="http://schemas.openxmlformats.org/officeDocument/2006/relationships/image" Target="/media/image12.png" Id="R86b52d3be6714895" /><Relationship Type="http://schemas.openxmlformats.org/officeDocument/2006/relationships/image" Target="/media/image13.png" Id="R8dcab5e1939c4ff0" /><Relationship Type="http://schemas.openxmlformats.org/officeDocument/2006/relationships/image" Target="/media/image14.png" Id="R7c8a14b85bcc4a0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2026-09-24T07:54:41Z</dcterms:created>
  <cp:lastModifiedBy>OfficeCLI</cp:lastModifiedBy>
  <dcterms:modified xsi:type="dcterms:W3CDTF">2026-09-24T07:54:41Z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2026-09-24T08:07:06Z</vt:lpwstr>
  </op:property>
</op:Properties>
</file>