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24D"/>
          <w:sz w:val="42"/>
        </w:rPr>
        <w:t>MAHFOUZ SALAH MAHFOUZ SOLIMAN</w:t>
      </w:r>
    </w:p>
    <w:p>
      <w:pPr>
        <w:jc w:val="center"/>
      </w:pPr>
      <w:r>
        <w:rPr>
          <w:b/>
          <w:color w:val="087E8B"/>
          <w:sz w:val="22"/>
        </w:rPr>
        <w:t>SELECTED FACILITIES &amp; MEP PROJECT EXPERIENCE</w:t>
      </w:r>
    </w:p>
    <w:p>
      <w:pPr>
        <w:jc w:val="center"/>
      </w:pPr>
      <w:r>
        <w:rPr>
          <w:sz w:val="16"/>
        </w:rPr>
        <w:t>Cairo, Egypt  |  +2 01027629474 | +2 01221833667  |  Mahfouzsoliman2021@gmail.com</w:t>
        <w:br/>
        <w:t>linkedin.com/in/mahfouz-salah-suleiman-9058b2207</w:t>
      </w:r>
    </w:p>
    <w:p>
      <w:pPr>
        <w:pStyle w:val="Subtitle"/>
      </w:pPr>
      <w:r>
        <w:t>Professional portfolio | October 2026</w:t>
      </w:r>
    </w:p>
    <w:p>
      <w:pPr>
        <w:pStyle w:val="Heading1"/>
      </w:pPr>
      <w:r>
        <w:t>PROFILE</w:t>
      </w:r>
    </w:p>
    <w:p>
      <w:r>
        <w:t>Facilities and MEP professional with 15+ years of experience across commercial shopping malls, retail tenant coordination, facility operations, and consultant-side engineering oversight. Experienced in conducting MEP technical drawing reviews, site supervision, and execution follow-up across 8 commercial developments, including Madinat Masr developments (Arena, Taj, Kinda Malls), Sky Walk, Muse Mall, and East Plaza. Supervised and reviewed MEP works for 75+ retail tenants, coordinated Civil Defense life-safety compliance, managed multi-disciplinary facilities teams, and delivered infrastructure optimization with verified life-cycle savings.</w:t>
      </w:r>
    </w:p>
    <w:p>
      <w:pPr>
        <w:pStyle w:val="Heading1"/>
      </w:pPr>
      <w:r>
        <w:t>CAPABILITIES</w:t>
      </w:r>
    </w:p>
    <w:p>
      <w:pPr>
        <w:pStyle w:val="ListBullet"/>
        <w:spacing w:after="40"/>
        <w:ind w:left="259" w:hanging="173"/>
      </w:pPr>
      <w:r>
        <w:t>Facilities operations: preventive/corrective maintenance, maintenance contracts, operating budgets, utilities monitoring and contractor performance follow-up.</w:t>
      </w:r>
    </w:p>
    <w:p>
      <w:pPr>
        <w:pStyle w:val="ListBullet"/>
        <w:spacing w:after="40"/>
        <w:ind w:left="259" w:hanging="173"/>
      </w:pPr>
      <w:r>
        <w:t>MEP technical oversight: drawing/specification review, execution inspections, testing, snagging and handover.</w:t>
      </w:r>
    </w:p>
    <w:p>
      <w:pPr>
        <w:pStyle w:val="ListBullet"/>
        <w:spacing w:after="40"/>
        <w:ind w:left="259" w:hanging="173"/>
      </w:pPr>
      <w:r>
        <w:t>Retail fit-out coordination &amp; drawing review: Technical reviews and site execution supervision across 75+ retail tenants: 20+ tenants across Madinat Masr commercial developments (Arena, Taj, Kinda collectively), 10 tenants at Sky Walk, 35+ tenants at Muse Mall, and periodic reviews across 4 additional commercial malls.</w:t>
      </w:r>
    </w:p>
    <w:p>
      <w:pPr>
        <w:pStyle w:val="ListBullet"/>
        <w:spacing w:after="40"/>
        <w:ind w:left="259" w:hanging="173"/>
      </w:pPr>
      <w:r>
        <w:t>Fire and life safety coordination: technical follow-up against applicable Civil Defense requirements.</w:t>
      </w:r>
    </w:p>
    <w:p>
      <w:pPr>
        <w:pStyle w:val="ListBullet"/>
        <w:spacing w:after="40"/>
        <w:ind w:left="259" w:hanging="173"/>
      </w:pPr>
      <w:r>
        <w:t>Stakeholder management: coordination with owners, mall management, tenants, contractors, consultants and service providers.</w:t>
      </w:r>
    </w:p>
    <w:p>
      <w:pPr>
        <w:pStyle w:val="Heading1"/>
      </w:pPr>
      <w:r>
        <w:t>CASE STUDY 01 — CROSS 10 MALL: WATER-SUPPLY ROUTE OPTIMIZATION</w:t>
      </w:r>
    </w:p>
    <w:p>
      <w:r>
        <w:t>Context: During development of Cross 10 Mall in 10th of Ramadan City (approximately 22,000 m²), the initially considered main water connection route was estimated at about EGP 5 million and would have required booster pumps.</w:t>
      </w:r>
    </w:p>
    <w:p>
      <w:r>
        <w:t>Action: Coordinated with the adjacent Hyper One site to identify a closer alternative route and arrange access, allowing the project to avoid the originally planned route and booster pumps.</w:t>
      </w:r>
    </w:p>
    <w:p>
      <w:r>
        <w:t>Reported outcome: The alternative route cost approximately EGP 750,000, an estimated saving of EGP 4.25 million (about 85%) versus the initial estimate. Figures are approximate and should be validated against final project records before external publication.</w:t>
      </w:r>
    </w:p>
    <w:p>
      <w:pPr>
        <w:pStyle w:val="Heading1"/>
      </w:pPr>
      <w:r>
        <w:t>CASE STUDY 02 — SOUQ EL MADINA MALL: DRAINAGE REHABILITATION</w:t>
      </w:r>
    </w:p>
    <w:p>
      <w:r>
        <w:t>Challenge: Incorrect drainage installation and levels over a concrete slab caused recurring leakage.</w:t>
      </w:r>
    </w:p>
    <w:p>
      <w:r>
        <w:t>Action: Coordinated with mall management and the owner to replace/re-route drainage lines at correct gradients and levels. Individual shops were connected to the main drainage line through inspection chambers. Also coordinated rehabilitation of lift pumps and the pump control panel, adjusted operating levels, arranged alternating pump operation, and added grease traps for restaurant tenants.</w:t>
      </w:r>
    </w:p>
    <w:p>
      <w:r>
        <w:t>Reported outcome: The recurring leakage issue stopped following the corrective works, according to project experience shared by the candidate.</w:t>
      </w:r>
    </w:p>
    <w:p>
      <w:pPr>
        <w:pStyle w:val="Heading1"/>
      </w:pPr>
      <w:r>
        <w:t>CASE STUDY 03 — CROSS 10 MALL: FACILITIES OPERATIONS &amp; TEAM MANAGEMENT</w:t>
      </w:r>
    </w:p>
    <w:p>
      <w:pPr>
        <w:pStyle w:val="ListBullet"/>
        <w:spacing w:after="40"/>
        <w:ind w:left="259" w:hanging="173"/>
      </w:pPr>
      <w:r>
        <w:t>Supported the project from construction through tenant fit-out, MEP completion and operational handover.</w:t>
      </w:r>
    </w:p>
    <w:p>
      <w:pPr>
        <w:pStyle w:val="ListBullet"/>
        <w:spacing w:after="40"/>
        <w:ind w:left="259" w:hanging="173"/>
      </w:pPr>
      <w:r>
        <w:t>Managed a 25-person facilities team: 3 engineers, 4 supervisors, and technicians/workers.</w:t>
      </w:r>
    </w:p>
    <w:p>
      <w:pPr>
        <w:pStyle w:val="ListBullet"/>
        <w:spacing w:after="40"/>
        <w:ind w:left="259" w:hanging="173"/>
      </w:pPr>
      <w:r>
        <w:t>Managed preventive and corrective maintenance, operating budgets, maintenance contracts and electricity/water consumption monitoring.</w:t>
      </w:r>
    </w:p>
    <w:p>
      <w:pPr>
        <w:pStyle w:val="ListBullet"/>
        <w:spacing w:after="40"/>
        <w:ind w:left="259" w:hanging="173"/>
      </w:pPr>
      <w:r>
        <w:t>Followed up a monthly maintenance contract of approximately EGP 150,000 and reviewed contractor performance using response time, repair speed, complaint handling and preventive-maintenance adequacy.</w:t>
      </w:r>
    </w:p>
    <w:p>
      <w:pPr>
        <w:pStyle w:val="ListBullet"/>
        <w:spacing w:after="40"/>
        <w:ind w:left="259" w:hanging="173"/>
      </w:pPr>
      <w:r>
        <w:t>Implemented a paper-and-Excel inventory tracking process for incoming, outgoing and returned store items to strengthen stock control.</w:t>
      </w:r>
    </w:p>
    <w:p>
      <w:pPr>
        <w:pStyle w:val="Heading1"/>
      </w:pPr>
      <w:r>
        <w:t>CASE STUDY 04 — MADINAT MASR COMMERCIAL DEVELOPMENTS (ARENA, TAJ &amp; KINDA MALLS)</w:t>
      </w:r>
    </w:p>
    <w:p>
      <w:pPr/>
      <w:r>
        <w:t>Context &amp; Locations: Consultant-side technical oversight for commercial retail developments associated with Madinat Masr: Mall Arena (within Sarai Compound), Mall Taj (within Taj City Compound), and Mall Kinda in Cairo, Egypt.</w:t>
      </w:r>
    </w:p>
    <w:p>
      <w:pPr/>
      <w:r>
        <w:t>Role &amp; Capacity: MEP Consultant / Tenant Drawing Review &amp; Site Supervision (through Egyptian International Architecture Group – Mega Plan).</w:t>
      </w:r>
    </w:p>
    <w:p>
      <w:pPr/>
      <w:r>
        <w:t>Tenant Scale: Technical review of MEP engineering drawings and site execution follow-up for 20+ commercial retail tenants collectively across the three malls.</w:t>
      </w:r>
    </w:p>
    <w:p>
      <w:pPr/>
      <w:r>
        <w:t>Action &amp; Responsibilities: Reviewed architectural and MEP tenant submissions covering electrical distribution, lighting, HVAC ductwork, plumbing/drainage tie-ins, and fire protection. Coordinated technical review comments directly with tenant engineering teams, ensuring full compliance with base-building utility capacities and Civil Defense regulations. Conducted periodic field inspections to verify that site installations conformed precisely to reviewed shop drawings.</w:t>
      </w:r>
    </w:p>
    <w:p>
      <w:pPr/>
      <w:r>
        <w:t>Outcome &amp; Governance: Prevented base-building utility overloads and eliminated installation clashes before operational handover, maintaining structured technical alignment between master developer and retail tenants.</w:t>
      </w:r>
    </w:p>
    <w:p>
      <w:pPr>
        <w:pStyle w:val="Heading1"/>
      </w:pPr>
      <w:r>
        <w:t>CASE STUDY 05 — SKY WALK COMMERCIAL DEVELOPMENT</w:t>
      </w:r>
    </w:p>
    <w:p>
      <w:pPr/>
      <w:r>
        <w:t>Context &amp; Location: Commercial shopping and business development located in 6th of October City, Egypt.</w:t>
      </w:r>
    </w:p>
    <w:p>
      <w:pPr/>
      <w:r>
        <w:t>Role &amp; Capacity: MEP Consultant / Drawing Review &amp; Site Execution Follow-Up (through Mega Plan).</w:t>
      </w:r>
    </w:p>
    <w:p>
      <w:pPr/>
      <w:r>
        <w:t>Tenant Scale: Drawing reviews and site execution follow-up for 10 commercial retail tenants.</w:t>
      </w:r>
    </w:p>
    <w:p>
      <w:pPr/>
      <w:r>
        <w:t>Action &amp; Responsibilities: Performed comprehensive drawing reviews for 10 tenant fit-out packages. Evaluated power loading, chilled water/DX connections, drainage gradients, and fire alarm integration against base-building design criteria. Conducted on-site inspections during execution to verify adherence to approved materials, routing pathways, and safety clearances.</w:t>
      </w:r>
    </w:p>
    <w:p>
      <w:pPr/>
      <w:r>
        <w:t>Outcome &amp; Governance: Maintained continuous coordination between tenant fit-out contractors and base-building management, ensuring seamless integration with building services infrastructure.</w:t>
      </w:r>
    </w:p>
    <w:p>
      <w:pPr>
        <w:pStyle w:val="Heading1"/>
      </w:pPr>
      <w:r>
        <w:t>CASE STUDY 06 — MUSE MALL COMMERCIAL DEVELOPMENT</w:t>
      </w:r>
    </w:p>
    <w:p>
      <w:pPr/>
      <w:r>
        <w:t>Context &amp; Location: Prominent commercial shopping center located near Al Naib Al Aam Bridge, Egypt.</w:t>
      </w:r>
    </w:p>
    <w:p>
      <w:pPr/>
      <w:r>
        <w:t>Role &amp; Capacity: MEP Consultant / Site Execution Supervision &amp; Tenant Coordination (through Mega Plan).</w:t>
      </w:r>
    </w:p>
    <w:p>
      <w:pPr/>
      <w:r>
        <w:t>Tenant Scale: Supervised site execution works and coordinated technical interfaces for more than 35 commercial retail tenants (35+ tenants).</w:t>
      </w:r>
    </w:p>
    <w:p>
      <w:pPr/>
      <w:r>
        <w:t>Action &amp; Responsibilities: Provided continuous consultant-side field supervision across 35+ retail tenant fit-outs concurrently. Monitored contractor execution across electrical containment, HVAC airflow distribution, sanitary plumbing, and life-safety systems. Enforced approved containment corridors, resolved on-site technical coordination bottlenecks, and verified compliance with Egyptian Civil Defense requirements.</w:t>
      </w:r>
    </w:p>
    <w:p>
      <w:pPr/>
      <w:r>
        <w:t>Outcome &amp; Governance: Successfully governed execution quality and building services compliance across high-density retail tenant areas, mitigating risks to central mall operations.</w:t>
      </w:r>
    </w:p>
    <w:p>
      <w:pPr>
        <w:pStyle w:val="Heading1"/>
      </w:pPr>
      <w:r>
        <w:t>CURRENT CONSULTANCY SCOPE — MEGA PLAN</w:t>
      </w:r>
    </w:p>
    <w:p>
      <w:r>
        <w:t>Comprehensive consultant-side technical oversight across 8 commercial mall developments in Egypt: Madinat Masr Developments (Mall Arena at Sarai, Mall Taj at Taj City, Mall Kinda), Sky Walk (6th of October City), Muse Mall (near Al Naib Al Aam Bridge), East Plaza Mall, Kayan Plaza Mall, Souq El Madina Mall, and 60 Feddan Club Mall. Total scope includes technical drawing reviews, contractor execution supervision, technical snagging, testing &amp; commissioning follow-up, and Civil Defense compliance across 75+ retail tenant interfaces.</w:t>
      </w:r>
    </w:p>
    <w:p>
      <w:pPr>
        <w:pStyle w:val="Heading1"/>
      </w:pPr>
      <w:r>
        <w:t>SYSTEMS &amp; TECHNICAL AREAS</w:t>
      </w:r>
    </w:p>
    <w:p>
      <w:pPr>
        <w:pStyle w:val="ListBullet"/>
        <w:spacing w:after="40"/>
        <w:ind w:left="259" w:hanging="173"/>
      </w:pPr>
      <w:r>
        <w:t>Electrical systems</w:t>
      </w:r>
    </w:p>
    <w:p>
      <w:pPr>
        <w:pStyle w:val="ListBullet"/>
        <w:spacing w:after="40"/>
        <w:ind w:left="259" w:hanging="173"/>
      </w:pPr>
      <w:r>
        <w:t>Firefighting systems and fire alarm systems</w:t>
      </w:r>
    </w:p>
    <w:p>
      <w:pPr>
        <w:pStyle w:val="ListBullet"/>
        <w:spacing w:after="40"/>
        <w:ind w:left="259" w:hanging="173"/>
      </w:pPr>
      <w:r>
        <w:t>Plumbing and drainage</w:t>
      </w:r>
    </w:p>
    <w:p>
      <w:pPr>
        <w:pStyle w:val="ListBullet"/>
        <w:spacing w:after="40"/>
        <w:ind w:left="259" w:hanging="173"/>
      </w:pPr>
      <w:r>
        <w:t>HVAC</w:t>
      </w:r>
    </w:p>
    <w:p>
      <w:pPr>
        <w:pStyle w:val="ListBullet"/>
        <w:spacing w:after="40"/>
        <w:ind w:left="259" w:hanging="173"/>
      </w:pPr>
      <w:r>
        <w:t>Pumps and pump control</w:t>
      </w:r>
    </w:p>
    <w:p>
      <w:pPr>
        <w:pStyle w:val="ListBullet"/>
        <w:spacing w:after="40"/>
        <w:ind w:left="259" w:hanging="173"/>
      </w:pPr>
      <w:r>
        <w:t>Retail tenant MEP fit-outs</w:t>
      </w:r>
    </w:p>
    <w:p>
      <w:pPr>
        <w:pStyle w:val="ListBullet"/>
        <w:spacing w:after="40"/>
        <w:ind w:left="259" w:hanging="173"/>
      </w:pPr>
      <w:r>
        <w:t>HSE procedures and work-permit follow-up</w:t>
      </w:r>
    </w:p>
    <w:p>
      <w:pPr>
        <w:pStyle w:val="Heading1"/>
      </w:pPr>
      <w:r>
        <w:t>EDUCATION &amp; PROFESSIONAL DEVELOPMENT</w:t>
      </w:r>
    </w:p>
    <w:p>
      <w:r>
        <w:t>Bachelor of Industrial Education, Electronics Technology Department — Helwan University | 2009</w:t>
        <w:br/>
        <w:t>Graduation project: Design of a Miniature Laboratory System for Voltage and Current Measurements | Grade: Excellent</w:t>
      </w:r>
    </w:p>
    <w:p>
      <w:pPr>
        <w:pStyle w:val="ListBullet"/>
        <w:spacing w:after="40"/>
        <w:ind w:left="259" w:hanging="173"/>
      </w:pPr>
      <w:r>
        <w:t>Applied Supervisory Professional Diploma — AUC School of Continuing Education | Nov 2022 – Nov 2023 | 210 contact hours</w:t>
      </w:r>
    </w:p>
    <w:p>
      <w:pPr>
        <w:pStyle w:val="ListBullet"/>
        <w:spacing w:after="40"/>
        <w:ind w:left="259" w:hanging="173"/>
      </w:pPr>
      <w:r>
        <w:t>Project Management Foundations — LinkedIn Learning | Dec 2023</w:t>
      </w:r>
    </w:p>
    <w:p>
      <w:pPr>
        <w:pStyle w:val="ListBullet"/>
        <w:spacing w:after="40"/>
        <w:ind w:left="259" w:hanging="173"/>
      </w:pPr>
      <w:r>
        <w:t>Construction Management: Concrete Construction — LinkedIn Learning | Mar 2024</w:t>
      </w:r>
    </w:p>
    <w:p>
      <w:pPr>
        <w:pStyle w:val="ListBullet"/>
        <w:spacing w:after="40"/>
        <w:ind w:left="259" w:hanging="173"/>
      </w:pPr>
      <w:r>
        <w:t>Construction Management: Introduction to Lean Construction — LinkedIn Learning | Feb 2024</w:t>
      </w:r>
    </w:p>
    <w:p>
      <w:pPr>
        <w:pStyle w:val="ListBullet"/>
        <w:spacing w:after="40"/>
        <w:ind w:left="259" w:hanging="173"/>
      </w:pPr>
      <w:r>
        <w:t>Project Management Foundations: Budgets, Requirements, Risk, Schedules and Teams — LinkedIn Learning | 2024</w:t>
      </w:r>
    </w:p>
    <w:p>
      <w:pPr>
        <w:pStyle w:val="ListBullet"/>
        <w:spacing w:after="40"/>
        <w:ind w:left="259" w:hanging="173"/>
      </w:pPr>
      <w:r>
        <w:t>Managing Project Stakeholders; Collaborating with Microsoft 365 — LinkedIn Learning | 2024</w:t>
      </w:r>
    </w:p>
    <w:p>
      <w:pPr>
        <w:pStyle w:val="ListBullet"/>
        <w:spacing w:after="40"/>
        <w:ind w:left="259" w:hanging="173"/>
      </w:pPr>
      <w:r>
        <w:t>Administrative Professional Foundations — LinkedIn Learning | Feb 2025</w:t>
      </w:r>
    </w:p>
    <w:p>
      <w:pPr>
        <w:pStyle w:val="Heading1"/>
      </w:pPr>
      <w:r>
        <w:t>TOOLS &amp; LANGUAGES</w:t>
      </w:r>
    </w:p>
    <w:p>
      <w:r>
        <w:t>AutoCAD | Microsoft Excel | Microsoft Word | Microsoft PowerPoint</w:t>
        <w:br/>
        <w:t>Arabic: Native | English: Good</w:t>
      </w:r>
    </w:p>
    <w:p>
      <w:pPr>
        <w:pStyle w:val="Heading1"/>
      </w:pPr>
      <w:r>
        <w:t>PORTFOLIO NOTES</w:t>
      </w:r>
    </w:p>
    <w:p>
      <w:r>
        <w:t>Project outcomes are based on candidate-provided information. Validate financial figures and obtain permission before publishing project names, tenant brands, drawings, photographs or other potentially confidential materials. This portfolio describes technical oversight and coordination; it does not claim current direct-report management at Mega Plan.</w:t>
      </w:r>
    </w:p>
    <w:sectPr w:rsidR="00FC693F" w:rsidRPr="0006063C" w:rsidSect="00034616">
      <w:pgSz w:w="12240" w:h="15840"/>
      <w:pgMar w:top="792" w:right="979" w:bottom="792"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color w:val="323B46"/>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87E8B"/>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