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55 — Final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চূড়ান্তভাবে প্রকাশিত SA ২৩৮ নং খতিয়ান দ্বারা রাষ্ট্র আব্দুল আলীকে একক রায়ত হিসেবে স্বীকৃতি দিয়াছে। যে পক্ষ এই State Recognition অস্বীকার করে, সেই পক্ষকেই উহা ভাঙিবার জন্য নির্ভরযোগ্য প্রমাণ উপস্থাপন করিতে হইবে।</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এই আপীলে বাদীপক্ষের বক্তব্য কোনো প্রাক্-SA (Pre-SA) title reconstruction-এর উপর নির্ভরশীল নয়। রাষ্ট্র Estate Acquisition-এর পর নিজস্ব প্রশাসনিক ও জরিপ প্রক্রিয়ার মাধ্যমে SA ২৩৮ নং খতিয়ান প্রস্তুত ও চূড়ান্তভাবে প্রকাশ করে। সেই রেকর্ডে আব্দুল আলী একক রায়ত হিসেবে স্বীকৃত। অতএব বর্তমান বিতর্কের সূচনা বিন্দু ১৯৩৪ সালের কথিত পত্তন নহে; বরং রাষ্ট্র কর্তৃক চূড়ান্তভাবে স্বীকৃত SA Record।</w:t>
      </w:r>
    </w:p>
    <w:p>
      <w:r>
        <w:rPr>
          <w:rFonts w:ascii="Kalpurush" w:cs="Kalpurush" w:eastAsia="Kalpurush" w:hAnsi="Kalpurush"/>
        </w:rPr>
        <w:t xml:space="preserve"/>
      </w:r>
    </w:p>
    <w:p>
      <w:r>
        <w:rPr>
          <w:rFonts w:ascii="Kalpurush" w:cs="Kalpurush" w:eastAsia="Kalpurush" w:hAnsi="Kalpurush"/>
          <w:b/>
          <w:bCs/>
          <w:sz w:val="20"/>
          <w:szCs w:val="20"/>
        </w:rPr>
        <w:t xml:space="preserve">যে পক্ষ এই State Recognition অস্বীকার করে, সেই পক্ষকেই উহা ভাঙিবার জন্য নির্ভরযোগ্য ও আইনসিদ্ধ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The State Record and its Corroboration:</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খতিয়ানই বাদীপক্ষের প্রধান ভিত্তি। ১৩৫৭ বঙ্গাব্দের খাজনা রসিদ এবং ১৯৫৭ সালের রেজিস্ট্রিকৃত দলিল কেবল উক্ত State Record-এর সহায়ক ও সমর্থনকারী পরিস্থিতিগত প্রমাণ (corroborative evidence) হিসেবে বিবেচ্য।</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SA অপারেশন চলমান থাকাকালীন সময়ে আব্দুল আলী সংশ্লিষ্ট মৌজায় স্বীয় নামে প্রকাশ্যে সম্পত্তি ক্রয় ও ভোগদখল করিতেছিলেন। উক্ত দলিলভুক্ত জমিও পরবর্তীতে SA ২৩৮ নং খতিয়ানের অন্তর্ভুক্ত হইয়াছে। ফলে দলিলটি দেখায় যে SA অপারেশন চলাকালীন সময়ে আব্দুল আলী সংশ্লিষ্ট মৌজায় প্রকাশ্য ও স্বীকৃত ভূমি-অধিকারী ব্যক্তি হিসেবে পরিচিত ছিলেন।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rPr>
        <w:t xml:space="preserve"/>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SA জরিপ কর্তৃপক্ষ ভুল করিয়াছেন</w:t>
      </w:r>
    </w:p>
    <w:p>
      <w:pPr>
        <w:pStyle w:val="ListParagraph"/>
        <w:numPr>
          <w:ilvl w:val="0"/>
          <w:numId w:val="1"/>
        </w:numPr>
      </w:pPr>
      <w:r>
        <w:rPr>
          <w:rFonts w:ascii="Kalpurush" w:cs="Kalpurush" w:eastAsia="Kalpurush" w:hAnsi="Kalpurush"/>
          <w:sz w:val="20"/>
          <w:szCs w:val="20"/>
        </w:rPr>
        <w:t xml:space="preserve">Draft Khatian পর্যায়ে ভুল ধরা পড়েনি</w:t>
      </w:r>
    </w:p>
    <w:p>
      <w:pPr>
        <w:pStyle w:val="ListParagraph"/>
        <w:numPr>
          <w:ilvl w:val="0"/>
          <w:numId w:val="1"/>
        </w:numPr>
      </w:pPr>
      <w:r>
        <w:rPr>
          <w:rFonts w:ascii="Kalpurush" w:cs="Kalpurush" w:eastAsia="Kalpurush" w:hAnsi="Kalpurush"/>
          <w:sz w:val="20"/>
          <w:szCs w:val="20"/>
        </w:rPr>
        <w:t xml:space="preserve">Appeal পর্যায়ে ভুল ধরা পড়েনি</w:t>
      </w:r>
    </w:p>
    <w:p>
      <w:pPr>
        <w:pStyle w:val="ListParagraph"/>
        <w:numPr>
          <w:ilvl w:val="0"/>
          <w:numId w:val="1"/>
        </w:numPr>
      </w:pPr>
      <w:r>
        <w:rPr>
          <w:rFonts w:ascii="Kalpurush" w:cs="Kalpurush" w:eastAsia="Kalpurush" w:hAnsi="Kalpurush"/>
          <w:sz w:val="20"/>
          <w:szCs w:val="20"/>
        </w:rPr>
        <w:t xml:space="preserve">Revision পর্যায়ে ভুল ধরা পড়েনি</w:t>
      </w:r>
    </w:p>
    <w:p>
      <w:pPr>
        <w:pStyle w:val="ListParagraph"/>
        <w:numPr>
          <w:ilvl w:val="0"/>
          <w:numId w:val="1"/>
        </w:numPr>
      </w:pPr>
      <w:r>
        <w:rPr>
          <w:rFonts w:ascii="Kalpurush" w:cs="Kalpurush" w:eastAsia="Kalpurush" w:hAnsi="Kalpurush"/>
          <w:sz w:val="20"/>
          <w:szCs w:val="20"/>
        </w:rPr>
        <w:t xml:space="preserve">চূড়ান্ত প্রকাশনার পরও সংশোধিত হয়নি</w:t>
      </w:r>
    </w:p>
    <w:p>
      <w:pPr>
        <w:pStyle w:val="ListParagraph"/>
        <w:numPr>
          <w:ilvl w:val="0"/>
          <w:numId w:val="1"/>
        </w:numPr>
      </w:pPr>
      <w:r>
        <w:rPr>
          <w:rFonts w:ascii="Kalpurush" w:cs="Kalpurush" w:eastAsia="Kalpurush" w:hAnsi="Kalpurush"/>
          <w:sz w:val="20"/>
          <w:szCs w:val="20"/>
        </w:rPr>
        <w:t xml:space="preserve">৫০ বছরের অধিক সময়েও Record Room সংশোধিত হয়নি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সুস্পষ্ট Chain of Title প্রদর্শন করিয়াছেন:</w:t>
      </w:r>
    </w:p>
    <w:p>
      <w:r>
        <w:rPr>
          <w:rFonts w:ascii="Kalpurush" w:cs="Kalpurush" w:eastAsia="Kalpurush" w:hAnsi="Kalpurush"/>
          <w:b/>
          <w:bCs/>
          <w:sz w:val="20"/>
          <w:szCs w:val="20"/>
        </w:rPr>
        <w:t xml:space="preserve">State Recognition (SA 238) → Record Room Continuity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প্রথমটি — ১৯৩৪ সালের কথিত পত্তন। দ্বিতীয়টি — ১৯৬৯ সালের কথিত Misc Case। উভয়ই আইনগতভাবে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কথিত পত্তনের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w:t>
      </w:r>
      <w:r>
        <w:rPr>
          <w:rFonts w:ascii="Kalpurush" w:cs="Kalpurush" w:eastAsia="Kalpurush" w:hAnsi="Kalpurush"/>
          <w:sz w:val="20"/>
          <w:szCs w:val="20"/>
        </w:rPr>
        <w:t xml:space="preserve"> 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b/>
          <w:bCs/>
          <w:sz w:val="20"/>
          <w:szCs w:val="20"/>
        </w:rPr>
        <w:t xml:space="preserve">দ্বিতীয়ত — SAT Act, 1950-এর বিধানে স্বয়ংক্রিয় বিলুপ্তি:</w:t>
      </w:r>
      <w:r>
        <w:rPr>
          <w:rFonts w:ascii="Kalpurush" w:cs="Kalpurush" w:eastAsia="Kalpurush" w:hAnsi="Kalpurush"/>
          <w:sz w:val="20"/>
          <w:szCs w:val="20"/>
        </w:rPr>
        <w:t xml:space="preserve"> রাষ্ট্রীয় অধিগ্রহণের পর পূর্ববর্তী যেকোনো অনিবন্ধিত পত্তনভিত্তিক দাবি (যেমন কথিত উঠবন্দি প্রথা)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Case-এর মারাত্মক দুর্বলতা (দলিলাদির সম্পূর্ণ অনুপস্থিতি):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যে Misc Case-এর উপর নির্ভর করিয়া একটি finally published State Record পরিবর্তনের দাবি করা হইতেছে, তাহার আদেশ বা certified copy না থাকায় আদালত আদৌ জানিতে পারিতেছেন সম্পাদক না যে উহা title matter ছিল, correction matter ছিল, না অন্য কোনো প্রশাসনিক কার্যক্রম ছিল। </w:t>
      </w:r>
    </w:p>
    <w:p>
      <w:r>
        <w:rPr>
          <w:rFonts w:ascii="Kalpurush" w:cs="Kalpurush" w:eastAsia="Kalpurush" w:hAnsi="Kalpurush"/>
        </w:rPr>
        <w:t xml:space="preserve"/>
      </w:r>
    </w:p>
    <w:p>
      <w:r>
        <w:rPr>
          <w:rFonts w:ascii="Kalpurush" w:cs="Kalpurush" w:eastAsia="Kalpurush" w:hAnsi="Kalpurush"/>
          <w:sz w:val="20"/>
          <w:szCs w:val="20"/>
        </w:rPr>
        <w:t xml:space="preserve">অধিকন্তু, আইনের দৃষ্টিতে প্রশ্ন — Misc Case-এর মাধ্যমে কারো স্বত্ব নির্ধারণ করা যায় কি? </w:t>
      </w:r>
    </w:p>
    <w:p>
      <w:pPr>
        <w:pStyle w:val="ListParagraph"/>
        <w:numPr>
          <w:ilvl w:val="0"/>
          <w:numId w:val="1"/>
        </w:numPr>
      </w:pPr>
      <w:r>
        <w:rPr>
          <w:rFonts w:ascii="Kalpurush" w:cs="Kalpurush" w:eastAsia="Kalpurush" w:hAnsi="Kalpurush"/>
          <w:b/>
          <w:bCs/>
          <w:sz w:val="20"/>
          <w:szCs w:val="20"/>
        </w:rPr>
        <w:t xml:space="preserve">Specific Relief Act ধারা ৪২:</w:t>
      </w:r>
      <w:r>
        <w:rPr>
          <w:rFonts w:ascii="Kalpurush" w:cs="Kalpurush" w:eastAsia="Kalpurush" w:hAnsi="Kalpurush"/>
          <w:sz w:val="20"/>
          <w:szCs w:val="20"/>
        </w:rPr>
        <w:t xml:space="preserve"> title declaration কেবল পূর্ণাঙ্গ suit-এর মাধ্যমেই সম্ভব।</w:t>
      </w:r>
    </w:p>
    <w:p>
      <w:pPr>
        <w:pStyle w:val="ListParagraph"/>
        <w:numPr>
          <w:ilvl w:val="0"/>
          <w:numId w:val="1"/>
        </w:numPr>
      </w:pPr>
      <w:r>
        <w:rPr>
          <w:rFonts w:ascii="Kalpurush" w:cs="Kalpurush" w:eastAsia="Kalpurush" w:hAnsi="Kalpurush"/>
          <w:b/>
          <w:bCs/>
          <w:sz w:val="20"/>
          <w:szCs w:val="20"/>
        </w:rPr>
        <w:t xml:space="preserve">SAT Act ধারা ১৪৩/১৪৪:</w:t>
      </w:r>
      <w:r>
        <w:rPr>
          <w:rFonts w:ascii="Kalpurush" w:cs="Kalpurush" w:eastAsia="Kalpurush" w:hAnsi="Kalpurush"/>
          <w:sz w:val="20"/>
          <w:szCs w:val="20"/>
        </w:rPr>
        <w:t xml:space="preserve">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Root and Fruit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 </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 (The Root and Fruit Theory):</w:t>
      </w:r>
    </w:p>
    <w:p>
      <w:pPr>
        <w:ind w:left="720"/>
      </w:pPr>
      <w:r>
        <w:rPr>
          <w:rFonts w:ascii="Kalpurush" w:cs="Kalpurush" w:eastAsia="Kalpurush" w:hAnsi="Kalpurush"/>
          <w:i/>
          <w:iCs/>
          <w:sz w:val="20"/>
          <w:szCs w:val="20"/>
        </w:rPr>
        <w:t xml:space="preserve">"My Lord, when the alleged root order itself is absent, the fruit derived from it cannot survive independently."</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 যদি প্রমাণিত না হয়, তবে সেই Misc Case-এর ফলশ্রুতি হিসেবে দাবি করা Volume Note-ও স্বাধীনভাবে টিকিয়া থাকিতে পারে শাহিন থাকিতে পারে না। মূল আদেশ (Root) ব্যর্থ হলে তার উপর নির্ভরশীল নোটও (Fruit) ব্যর্থ হয়।</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আনুষ্ঠানিক mutation আবেদন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সুনির্দিষ্ট case নম্বর</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রেকর্ডকৃত মালিককে নোটিশ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Tahsildar-এর সরেজমিন তদন্ত</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AC Land-এর স্বাক্ষরিত আনুষ্ঠানিক আদেশ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District Record Room-এ সংশোধন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Register of Alterations-এ এন্ট্রি</w:t>
            </w:r>
          </w:p>
        </w:tc>
        <w:tc>
          <w:p>
            <w:r>
              <w:rPr>
                <w:rFonts w:ascii="Kalpurush" w:cs="Kalpurush" w:eastAsia="Kalpurush" w:hAnsi="Kalpurush"/>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w:t>
      </w:r>
      <w:r>
        <w:rPr>
          <w:rFonts w:ascii="Kalpurush" w:cs="Kalpurush" w:eastAsia="Kalpurush" w:hAnsi="Kalpurush"/>
          <w:b/>
          <w:bCs/>
          <w:sz w:val="20"/>
          <w:szCs w:val="20"/>
        </w:rPr>
        <w:t xml:space="preserve">case file নম্বরবিহীন, notice-বিহীন, order-বিহীন অনিয়মজাত মার্জিন নোট।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0"/>
          <w:szCs w:val="20"/>
        </w:rPr>
        <w:t xml:space="preserve">এই আপীলের উত্তরহীন তিনটি প্রশ্ন (The Silence of the Record Room):</w:t>
      </w:r>
    </w:p>
    <w:p>
      <w:r>
        <w:rPr>
          <w:rFonts w:ascii="Kalpurush" w:cs="Kalpurush" w:eastAsia="Kalpurush" w:hAnsi="Kalpurush"/>
          <w:sz w:val="20"/>
          <w:szCs w:val="20"/>
        </w:rPr>
        <w:t xml:space="preserve">বিবাদীরা ১৯৬৯ সালে সংশোধন হইয়াছে বলিয়া দাবি করেন। তাহা হইলে —</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AC Land-এর এখতিয়ার বহির্ভূত কারসাজি এবং ট্রায়াল কোর্টের Evidentiary Standard Error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বিবাদীপক্ষের দাবিটি খতিয়ানে কোনো সাধারণ 'করণিক ভুল' (Clerical Mistake) বা নামের বানান সংশোধনের বিষয় নহে। তাহারা দাবি করিতেছেন যে একটি চূড়ান্তভাবে প্রকাশিত রাষ্ট্র-স্বীকৃত SA খতিয়ানে নতুন অংশীদার (co-sharer) যুক্ত করা হইয়াছে এবং মূল রায়তের স্বত্ব কর্তন করা হইয়াছে। </w:t>
      </w:r>
    </w:p>
    <w:p>
      <w:r>
        <w:rPr>
          <w:rFonts w:ascii="Kalpurush" w:cs="Kalpurush" w:eastAsia="Kalpurush" w:hAnsi="Kalpurush"/>
        </w:rPr>
        <w:t xml:space="preserve"/>
      </w:r>
    </w:p>
    <w:p>
      <w:r>
        <w:rPr>
          <w:rFonts w:ascii="Kalpurush" w:cs="Kalpurush" w:eastAsia="Kalpurush" w:hAnsi="Kalpurush"/>
          <w:sz w:val="20"/>
          <w:szCs w:val="20"/>
        </w:rPr>
        <w:t xml:space="preserve">আইন অনুযায়ী, </w:t>
      </w:r>
      <w:r>
        <w:rPr>
          <w:rFonts w:ascii="Kalpurush" w:cs="Kalpurush" w:eastAsia="Kalpurush" w:hAnsi="Kalpurush"/>
          <w:b/>
          <w:bCs/>
          <w:sz w:val="20"/>
          <w:szCs w:val="20"/>
        </w:rPr>
        <w:t xml:space="preserve">AC Land বা রাজস্ব কর্মকর্তার mutation jurisdiction স্বত্ব নির্ধারণের (adjudication of title) jurisdiction নহে। নতুন অংশীদার সংযোজন বা বিদ্যমান রায়তের স্বত্ব কর্তন করিয়া প্রতিদ্বন্দ্বী স্বত্ব সৃষ্টি করা তাহার এখতিয়ারভুক্ত নহে।</w:t>
      </w:r>
      <w:r>
        <w:rPr>
          <w:rFonts w:ascii="Kalpurush" w:cs="Kalpurush" w:eastAsia="Kalpurush" w:hAnsi="Kalpurush"/>
          <w:sz w:val="20"/>
          <w:szCs w:val="20"/>
        </w:rPr>
        <w:t xml:space="preserve"> এটি কেবল উপযুক্ত দেওয়ানি আদালতের এখতিয়ারভুক্ত। </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এখতিয়ার বহির্ভূতভাবে AC Land অফিসে লেখা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এখতিয়ার-বহির্ভূত ও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pPr>
        <w:ind w:left="720"/>
      </w:pPr>
    </w:p>
    <w:p>
      <w:pPr>
        <w:ind w:left="720"/>
      </w:pPr>
      <w:r>
        <w:rPr>
          <w:rFonts w:ascii="Kalpurush" w:cs="Kalpurush" w:eastAsia="Kalpurush" w:hAnsi="Kalpurush"/>
          <w:b/>
          <w:bCs/>
          <w:i/>
          <w:iCs/>
          <w:sz w:val="20"/>
          <w:szCs w:val="20"/>
        </w:rPr>
        <w:t xml:space="preserve">29 BLC (HD) 160:</w:t>
      </w:r>
      <w:r>
        <w:rPr>
          <w:rFonts w:ascii="Kalpurush" w:cs="Kalpurush" w:eastAsia="Kalpurush" w:hAnsi="Kalpurush"/>
          <w:i/>
          <w:iCs/>
          <w:sz w:val="20"/>
          <w:szCs w:val="20"/>
        </w:rPr>
        <w:t xml:space="preserve"> "If in correcting the clerical error in the khatian the ownership is affected... the revenue officer will have no jurisdiction to correct the khatian and it will be treated as a civil dispute." অর্থাৎ, খতিয়ানের সংশোধনের মাধ্যমে মালিকানা বা স্বত্ব প্রভাবিত হলে রাজস্ব কর্মকর্তার (Revenue Officer/AC Land) উক্ত খতিয়ান সংশোধনের কোনো এখতিয়ার নাই; এটি একটি দেওয়ানি বিরোধ হিসেবে বিবেচিত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 </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rPr>
        <w:t xml:space="preserve"/>
      </w:r>
    </w:p>
    <w:p>
      <w:r>
        <w:rPr>
          <w:rFonts w:ascii="Kalpurush" w:cs="Kalpurush" w:eastAsia="Kalpurush" w:hAnsi="Kalpurush"/>
          <w:sz w:val="20"/>
          <w:szCs w:val="20"/>
        </w:rPr>
        <w:t xml:space="preserve">এই আপীলে আদালতের সামনে প্রকৃত প্রশ্ন আব্দুল আলী না আব্দুল করিম নহে। প্রকৃত প্রশ্ন হইল—একটি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প্রার্থনা</w:t>
      </w:r>
    </w:p>
    <w:p>
      <w:r>
        <w:rPr>
          <w:rFonts w:ascii="Kalpurush" w:cs="Kalpurush" w:eastAsia="Kalpurush" w:hAnsi="Kalpurush"/>
        </w:rPr>
        <w:t xml:space="preserve"/>
      </w:r>
    </w:p>
    <w:p>
      <w:r>
        <w:rPr>
          <w:rFonts w:ascii="Kalpurush" w:cs="Kalpurush" w:eastAsia="Kalpurush" w:hAnsi="Kalpurush"/>
          <w:b/>
          <w:bCs/>
          <w:sz w:val="20"/>
          <w:szCs w:val="20"/>
        </w:rPr>
        <w:t xml:space="preserve">অতএব, মহামান্য আদালতের নিকট বিনীত প্রার্থনা এই যে:</w:t>
      </w:r>
    </w:p>
    <w:p>
      <w:r>
        <w:rPr>
          <w:rFonts w:ascii="Kalpurush" w:cs="Kalpurush" w:eastAsia="Kalpurush" w:hAnsi="Kalpurush"/>
        </w:rPr>
        <w:t xml:space="preserve"/>
      </w:r>
    </w:p>
    <w:p>
      <w:r>
        <w:rPr>
          <w:rFonts w:ascii="Kalpurush" w:cs="Kalpurush" w:eastAsia="Kalpurush" w:hAnsi="Kalpurush"/>
          <w:b/>
          <w:bCs/>
          <w:sz w:val="20"/>
          <w:szCs w:val="20"/>
        </w:rPr>
        <w:t xml:space="preserve">১.</w:t>
      </w:r>
      <w:r>
        <w:rPr>
          <w:rFonts w:ascii="Kalpurush" w:cs="Kalpurush" w:eastAsia="Kalpurush" w:hAnsi="Kalpurush"/>
          <w:sz w:val="20"/>
          <w:szCs w:val="20"/>
        </w:rPr>
        <w:t xml:space="preserve"> সখিপুর সিভিল জজ আদালতের ০৫/০৪/২০২৬ তারিখের রায় ও ০৯/০৪/২০২৬ তারিখের ডিক্রি </w:t>
      </w:r>
      <w:r>
        <w:rPr>
          <w:rFonts w:ascii="Kalpurush" w:cs="Kalpurush" w:eastAsia="Kalpurush" w:hAnsi="Kalpurush"/>
          <w:b/>
          <w:bCs/>
          <w:sz w:val="20"/>
          <w:szCs w:val="20"/>
        </w:rPr>
        <w:t xml:space="preserve">বাতিল</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২.</w:t>
      </w:r>
      <w:r>
        <w:rPr>
          <w:rFonts w:ascii="Kalpurush" w:cs="Kalpurush" w:eastAsia="Kalpurush" w:hAnsi="Kalpurush"/>
          <w:sz w:val="20"/>
          <w:szCs w:val="20"/>
        </w:rPr>
        <w:t xml:space="preserve"> আপীলটি </w:t>
      </w:r>
      <w:r>
        <w:rPr>
          <w:rFonts w:ascii="Kalpurush" w:cs="Kalpurush" w:eastAsia="Kalpurush" w:hAnsi="Kalpurush"/>
          <w:b/>
          <w:bCs/>
          <w:sz w:val="20"/>
          <w:szCs w:val="20"/>
        </w:rPr>
        <w:t xml:space="preserve">মঞ্জুর</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৩.</w:t>
      </w:r>
      <w:r>
        <w:rPr>
          <w:rFonts w:ascii="Kalpurush" w:cs="Kalpurush" w:eastAsia="Kalpurush" w:hAnsi="Kalpurush"/>
          <w:sz w:val="20"/>
          <w:szCs w:val="20"/>
        </w:rPr>
        <w:t xml:space="preserve"> এস.এ. ২৩৮ নং খতিয়ানের একক রায়ত আব্দুল আলীর প্রমাণিত সম্পত্তিতে আপীল্যান্ট/বাদীপক্ষ ও ১নং রেসপন্ডেন্ট/বিবাদীর অনুকূলে তাহাদের স্ব স্ব আইনানুগ হিস্যা অনুযায়ী </w:t>
      </w:r>
      <w:r>
        <w:rPr>
          <w:rFonts w:ascii="Kalpurush" w:cs="Kalpurush" w:eastAsia="Kalpurush" w:hAnsi="Kalpurush"/>
          <w:b/>
          <w:bCs/>
          <w:sz w:val="20"/>
          <w:szCs w:val="20"/>
        </w:rPr>
        <w:t xml:space="preserve">বাটোয়ারার প্রাথমিক ডিক্রি (Preliminary Decree)</w:t>
      </w:r>
      <w:r>
        <w:rPr>
          <w:rFonts w:ascii="Kalpurush" w:cs="Kalpurush" w:eastAsia="Kalpurush" w:hAnsi="Kalpurush"/>
          <w:sz w:val="20"/>
          <w:szCs w:val="20"/>
        </w:rPr>
        <w:t xml:space="preserve"> প্রদান করা হোক।</w:t>
      </w:r>
    </w:p>
    <w:p>
      <w:r>
        <w:rPr>
          <w:rFonts w:ascii="Kalpurush" w:cs="Kalpurush" w:eastAsia="Kalpurush" w:hAnsi="Kalpurush"/>
        </w:rPr>
        <w:t xml:space="preserve"/>
      </w:r>
    </w:p>
    <w:p>
      <w:r>
        <w:rPr>
          <w:rFonts w:ascii="Kalpurush" w:cs="Kalpurush" w:eastAsia="Kalpurush" w:hAnsi="Kalpurush"/>
          <w:b/>
          <w:bCs/>
          <w:sz w:val="20"/>
          <w:szCs w:val="20"/>
        </w:rPr>
        <w:t xml:space="preserve">৪.</w:t>
      </w:r>
      <w:r>
        <w:rPr>
          <w:rFonts w:ascii="Kalpurush" w:cs="Kalpurush" w:eastAsia="Kalpurush" w:hAnsi="Kalpurush"/>
          <w:sz w:val="20"/>
          <w:szCs w:val="20"/>
        </w:rPr>
        <w:t xml:space="preserve"> মামলার সমস্ত খরচ বিবাদীপক্ষকে বহনের আদেশ দেওয়া হোক।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5 SCOB (2015) AD 89</w:t>
            </w:r>
          </w:p>
        </w:tc>
        <w:tc>
          <w:p>
            <w:r>
              <w:rPr>
                <w:rFonts w:ascii="Kalpurush" w:cs="Kalpurush" w:eastAsia="Kalpurush" w:hAnsi="Kalpurush"/>
                <w:sz w:val="20"/>
                <w:szCs w:val="20"/>
              </w:rPr>
              <w:t xml:space="preserve">SA খতিয়ানের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৭.১</w:t>
            </w:r>
          </w:p>
        </w:tc>
        <w:tc>
          <w:p>
            <w:r>
              <w:rPr>
                <w:rFonts w:ascii="Kalpurush" w:cs="Kalpurush" w:eastAsia="Kalpurush" w:hAnsi="Kalpurush"/>
                <w:sz w:val="20"/>
                <w:szCs w:val="20"/>
              </w:rPr>
              <w:t xml:space="preserve">29 BLC (HD) 160</w:t>
            </w:r>
          </w:p>
        </w:tc>
        <w:tc>
          <w:p>
            <w:r>
              <w:rPr>
                <w:rFonts w:ascii="Kalpurush" w:cs="Kalpurush" w:eastAsia="Kalpurush" w:hAnsi="Kalpurush"/>
                <w:sz w:val="20"/>
                <w:szCs w:val="20"/>
              </w:rPr>
              <w:t xml:space="preserve">স্বত্ব প্রভাবিত হলে খতিয়ান সংশোধনে AC Land-এর এখতিয়ার নাই</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23 BLD (AD) 83</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2026-06-24T10:46:34.200Z</dcterms:created>
  <dcterms:modified xsi:type="dcterms:W3CDTF">2026-06-24T10:46:34.201Z</dcterms:modified>
</cp:coreProperties>
</file>

<file path=docProps/custom.xml><?xml version="1.0" encoding="utf-8"?>
<Properties xmlns="http://schemas.openxmlformats.org/officeDocument/2006/custom-properties" xmlns:vt="http://schemas.openxmlformats.org/officeDocument/2006/docPropsVTypes"/>
</file>