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rPr>
        <w:t xml:space="preserve"/>
      </w:r>
    </w:p>
    <w:p>
      <w:r>
        <w:rPr>
          <w:rFonts w:ascii="Kalpurush" w:cs="Kalpurush" w:eastAsia="Kalpurush" w:hAnsi="Kalpurush"/>
          <w:b/>
          <w:bCs/>
          <w:sz w:val="20"/>
          <w:szCs w:val="20"/>
        </w:rPr>
        <w:t xml:space="preserve">হাতেম আলী ও অন্যান্য (আপীল্যান্ট/বাদী)</w:t>
      </w:r>
    </w:p>
    <w:p>
      <w:r>
        <w:rPr>
          <w:rFonts w:ascii="Kalpurush" w:cs="Kalpurush" w:eastAsia="Kalpurush" w:hAnsi="Kalpurush"/>
          <w:sz w:val="20"/>
          <w:szCs w:val="20"/>
        </w:rPr>
        <w:t xml:space="preserve">বনাম</w:t>
      </w:r>
    </w:p>
    <w:p>
      <w:r>
        <w:rPr>
          <w:rFonts w:ascii="Kalpurush" w:cs="Kalpurush" w:eastAsia="Kalpurush" w:hAnsi="Kalpurush"/>
          <w:b/>
          <w:bCs/>
          <w:sz w:val="20"/>
          <w:szCs w:val="20"/>
        </w:rPr>
        <w:t xml:space="preserve">আলহাজ উদ্দিন ও অন্যান্য (রেসপন্ডেন্ট/বিবাদী)</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আপীল্যান্টপক্ষের পূর্ণাঙ্গ লিখিত যুক্তিতর্ক</w:t>
      </w:r>
    </w:p>
    <w:p>
      <w:r>
        <w:rPr>
          <w:rFonts w:ascii="Kalpurush" w:cs="Kalpurush" w:eastAsia="Kalpurush" w:hAnsi="Kalpurush"/>
          <w:b/>
          <w:bCs/>
          <w:sz w:val="20"/>
          <w:szCs w:val="20"/>
        </w:rPr>
        <w:t xml:space="preserve">Version 91 — Evidence-Centred Appellate Brief</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নিবেদন</w:t>
      </w:r>
    </w:p>
    <w:p>
      <w:r>
        <w:rPr>
          <w:rFonts w:ascii="Kalpurush" w:cs="Kalpurush" w:eastAsia="Kalpurush" w:hAnsi="Kalpurush"/>
        </w:rPr>
        <w:t xml:space="preserve"/>
      </w:r>
    </w:p>
    <w:p>
      <w:r>
        <w:rPr>
          <w:rFonts w:ascii="Kalpurush" w:cs="Kalpurush" w:eastAsia="Kalpurush" w:hAnsi="Kalpurush"/>
          <w:b/>
          <w:bCs/>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অত্র আপীলের ন্যায়ানুগ নিষ্পত্তির নিমিত্তে সমগ্র জমিদারি ইতিহাস, ১৯৩৪ সালের কথিত পত্তনের অস্পষ্টতা কিংবা পারিবারিক বংশতালিকার আদ্যোপান্ত পুনর্গঠনের কোনো আইনি আবশ্যকতা নাই। এই আপীলের প্রকৃত বিচার্য বিষয় অনেক বেশি সুনির্দিষ্ট এবং দালিলিক প্রমাণের উপর নির্ভরশীল।</w:t>
      </w:r>
    </w:p>
    <w:p>
      <w:r>
        <w:rPr>
          <w:rFonts w:ascii="Kalpurush" w:cs="Kalpurush" w:eastAsia="Kalpurush" w:hAnsi="Kalpurush"/>
        </w:rPr>
        <w:t xml:space="preserve"/>
      </w:r>
    </w:p>
    <w:p>
      <w:r>
        <w:rPr>
          <w:rFonts w:ascii="Kalpurush" w:cs="Kalpurush" w:eastAsia="Kalpurush" w:hAnsi="Kalpurush"/>
          <w:sz w:val="20"/>
          <w:szCs w:val="20"/>
        </w:rPr>
        <w:t xml:space="preserve">SA ২৩৮ বর্তমানে প্রাসঙ্গিক last revised record-of-rights এবং Evidence Act/SAT Act-এর বিধান অনুযায়ী ইহার evidentiary effect বিবেচ্য; বিবাদীপক্ষের alleged displacement প্রতিষ্ঠিত হয়েছে কি না, সেই প্রশ্নই বর্তমান বিতর্কের কেন্দ্রে।</w:t>
      </w:r>
    </w:p>
    <w:p>
      <w:r>
        <w:rPr>
          <w:rFonts w:ascii="Kalpurush" w:cs="Kalpurush" w:eastAsia="Kalpurush" w:hAnsi="Kalpurush"/>
        </w:rPr>
        <w:t xml:space="preserve"/>
      </w:r>
    </w:p>
    <w:p>
      <w:r>
        <w:rPr>
          <w:rFonts w:ascii="Kalpurush" w:cs="Kalpurush" w:eastAsia="Kalpurush" w:hAnsi="Kalpurush"/>
          <w:sz w:val="20"/>
          <w:szCs w:val="20"/>
        </w:rPr>
        <w:t xml:space="preserve">আমরা বলছি না যে SA ২৩৮ অখণ্ডনীয়। ধারা ১৪৪A-এর presumption SA ২৩৮-কে conclusive title deed-এ পরিণত করে না; তবে ইহা প্রমাণের প্রাথমিক অবস্থান নির্ধারণ করে। যে পক্ষ entry-টি ভুল বা পরবর্তীতে displaced হয়েছে দাবি করে, সেই দাবির পক্ষে তাকে নির্ভরযোগ্য প্রমাণ উপস্থাপন করতে হবে।</w:t>
      </w:r>
    </w:p>
    <w:p>
      <w:r>
        <w:rPr>
          <w:rFonts w:ascii="Kalpurush" w:cs="Kalpurush" w:eastAsia="Kalpurush" w:hAnsi="Kalpurush"/>
        </w:rPr>
        <w:t xml:space="preserve"/>
      </w:r>
    </w:p>
    <w:p>
      <w:r>
        <w:rPr>
          <w:rFonts w:ascii="Kalpurush" w:cs="Kalpurush" w:eastAsia="Kalpurush" w:hAnsi="Kalpurush"/>
          <w:sz w:val="20"/>
          <w:szCs w:val="20"/>
        </w:rPr>
        <w:t xml:space="preserve">বর্তমান আইনে record-of-rights maintenance ও mutation/correction-এর জন্য statutory procedures বিদ্যমান। তবে বর্তমান appeal-এর প্রশ্ন কোনো বর্তমান mutation proceeding-এর legality নয়; প্রশ্ন হলো—বিবাদীপক্ষ যে ১৯৬৯ সালের নির্দিষ্ট correction-এর উপর বর্তমান substantive interest দাবি করছে, সেই historical correction কোন আইন, কোন competent authority এবং কোন proceeding-এর মাধ্যমে সম্পন্ন হয়েছিল—তা তারা প্রমাণ করেছে কি না।</w:t>
      </w:r>
    </w:p>
    <w:p>
      <w:r>
        <w:rPr>
          <w:rFonts w:ascii="Kalpurush" w:cs="Kalpurush" w:eastAsia="Kalpurush" w:hAnsi="Kalpurush"/>
        </w:rPr>
        <w:t xml:space="preserve"/>
      </w:r>
    </w:p>
    <w:p>
      <w:r>
        <w:rPr>
          <w:rFonts w:ascii="Kalpurush" w:cs="Kalpurush" w:eastAsia="Kalpurush" w:hAnsi="Kalpurush"/>
          <w:b/>
          <w:bCs/>
          <w:sz w:val="20"/>
          <w:szCs w:val="20"/>
        </w:rPr>
        <w:t xml:space="preserve">আমাদের বক্তব্য অত্যন্ত সুস্পষ্ট ও সীমিত: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বিবাদীপক্ষ বর্তমান মামলায় যে সুনির্দিষ্ট substantive পরিবর্তনের উপর ভিত্তি করিয়া স্বত্ব দাবি প্রতিষ্ঠিত করিতে চাহিতেছে, সেই পরিবর্তনের আইনি উৎস (legal source), কার্যপ্রণালী (proceeding), এখতিয়ার (authority) এবং দালিলিক প্রমাণ (documentary manifestation) আদালতে আদৌ প্রমাণিত হয় নাই।</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I. Jurisdictional Reservation</w:t>
      </w:r>
    </w:p>
    <w:p>
      <w:r>
        <w:rPr>
          <w:rFonts w:ascii="Kalpurush" w:cs="Kalpurush" w:eastAsia="Kalpurush" w:hAnsi="Kalpurush"/>
        </w:rPr>
        <w:t xml:space="preserve"/>
      </w:r>
    </w:p>
    <w:p>
      <w:r>
        <w:rPr>
          <w:rFonts w:ascii="Kalpurush" w:cs="Kalpurush" w:eastAsia="Kalpurush" w:hAnsi="Kalpurush"/>
          <w:sz w:val="20"/>
          <w:szCs w:val="20"/>
        </w:rPr>
        <w:t xml:space="preserve">আপীল্যান্টগণ SA ২৩৮ নং খতিয়ানের final publication সংশোধন বা বাতিলের জন্য কোনো স্বতন্ত্র প্রতিকার প্রার্থনা করিতেছেন না। বর্তমান আপীল একটি partition proceeding-এর পরিণতিতে উদ্ভূত; বিবাদীপক্ষ নিজেদের substantive interest প্রতিষ্ঠার জন্য যে alleged 1969 correction-এর উপর নির্ভর করিতেছে, সেই কথিত corrective event আদৌ সংঘটিত, আইনসঙ্গত এবং প্রমাণিত কি না—তাহাই বর্তমান record-এর evidentiary question। এই আপীলে SA ২৩৮ সংশোধনের কোনো independent decree প্রার্থনা করা হয় নাই।</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II. প্রমাণের সঠিক ক্রম — The Two-Layer Test</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বিবাদীপক্ষের defence গ্রহণযোগ্য হইতে হইলে তাহাদিগকে আইনি প্রমাণের দুইটি পৃথক স্তর (layer) অতিক্রম করিতে হইবে।</w:t>
      </w:r>
    </w:p>
    <w:p>
      <w:r>
        <w:rPr>
          <w:rFonts w:ascii="Kalpurush" w:cs="Kalpurush" w:eastAsia="Kalpurush" w:hAnsi="Kalpurush"/>
        </w:rPr>
        <w:t xml:space="preserve"/>
      </w:r>
    </w:p>
    <w:p>
      <w:r>
        <w:rPr>
          <w:rFonts w:ascii="Kalpurush" w:cs="Kalpurush" w:eastAsia="Kalpurush" w:hAnsi="Kalpurush"/>
          <w:b/>
          <w:bCs/>
          <w:sz w:val="20"/>
          <w:szCs w:val="20"/>
        </w:rPr>
        <w:t xml:space="preserve">Layer 1 — Competing Root:</w:t>
      </w:r>
      <w:r>
        <w:rPr>
          <w:rFonts w:ascii="Kalpurush" w:cs="Kalpurush" w:eastAsia="Kalpurush" w:hAnsi="Kalpurush"/>
          <w:sz w:val="20"/>
          <w:szCs w:val="20"/>
        </w:rPr>
        <w:t xml:space="preserve"> আব্দুল করিম কি বাস্তবে এমন কোনো legally cognizable tenancy interest অর্জন করিয়াছিলেন, যাহার ভিত্তিতে তাহার উত্তরসূরিদের বর্তমান স্বত্ব দাবি আইনত গ্রহণযোগ্য?</w:t>
      </w:r>
    </w:p>
    <w:p>
      <w:r>
        <w:rPr>
          <w:rFonts w:ascii="Kalpurush" w:cs="Kalpurush" w:eastAsia="Kalpurush" w:hAnsi="Kalpurush"/>
        </w:rPr>
        <w:t xml:space="preserve"/>
      </w:r>
    </w:p>
    <w:p>
      <w:r>
        <w:rPr>
          <w:rFonts w:ascii="Kalpurush" w:cs="Kalpurush" w:eastAsia="Kalpurush" w:hAnsi="Kalpurush"/>
          <w:b/>
          <w:bCs/>
          <w:sz w:val="20"/>
          <w:szCs w:val="20"/>
        </w:rPr>
        <w:t xml:space="preserve">Layer 2 — Displacement:</w:t>
      </w:r>
      <w:r>
        <w:rPr>
          <w:rFonts w:ascii="Kalpurush" w:cs="Kalpurush" w:eastAsia="Kalpurush" w:hAnsi="Kalpurush"/>
          <w:sz w:val="20"/>
          <w:szCs w:val="20"/>
        </w:rPr>
        <w:t xml:space="preserve"> তর্কের খাতিরে যদি মানিয়াও নেওয়া হয় যে আব্দুল করিমের pre-SA interest-এর অস্তিত্ব ছিল, তথাপি সেই interest কীভাবে আইনগতভাবে চূড়ান্ত SA রেকর্ডে আব্দুল আলীর নাম অতিক্রম করিয়া সোনাভানুর অনুকূলে একটি present enforceable interest সৃষ্টি করিল?</w:t>
      </w:r>
    </w:p>
    <w:p>
      <w:r>
        <w:rPr>
          <w:rFonts w:ascii="Kalpurush" w:cs="Kalpurush" w:eastAsia="Kalpurush" w:hAnsi="Kalpurush"/>
        </w:rPr>
        <w:t xml:space="preserve"/>
      </w:r>
    </w:p>
    <w:p>
      <w:r>
        <w:rPr>
          <w:rFonts w:ascii="Kalpurush" w:cs="Kalpurush" w:eastAsia="Kalpurush" w:hAnsi="Kalpurush"/>
          <w:sz w:val="20"/>
          <w:szCs w:val="20"/>
        </w:rPr>
        <w:t xml:space="preserve">বিবাদীপক্ষের alleged 1934 tenancy এবং আপীল্যান্টদের present record-based claim একই evidentiary category-র বিষয় নহে। আমরা আব্দুল করিমের alleged tenancy-কে স্বীকার করিয়া তাহার উত্তরাধিকারী হিসাবে নিজেদের title দাবি করিতেছি না। বরং respondents সেই historical tenancy-কে ব্যবহার করিয়াই present SA 238 entry-কে displacement-এর জন্য rely করিতেছে। সুতরাং সেই historical tenancy-এর অস্তিত্ব প্রমাণিত হওয়ার প্রশ্নের পাশাপাশি, তাহার সহিত present claimed interest-এর মধ্যে lawful nexus বা bridge-ও প্রতিষ্ঠা করা আবশ্যক।</w:t>
      </w:r>
    </w:p>
    <w:p>
      <w:r>
        <w:rPr>
          <w:rFonts w:ascii="Kalpurush" w:cs="Kalpurush" w:eastAsia="Kalpurush" w:hAnsi="Kalpurush"/>
        </w:rPr>
        <w:t xml:space="preserve"/>
      </w:r>
    </w:p>
    <w:p>
      <w:r>
        <w:rPr>
          <w:rFonts w:ascii="Kalpurush" w:cs="Kalpurush" w:eastAsia="Kalpurush" w:hAnsi="Kalpurush"/>
          <w:sz w:val="20"/>
          <w:szCs w:val="20"/>
        </w:rPr>
        <w:t xml:space="preserve">প্রথম স্তরের অনুমান দ্বিতীয় স্তরের দালিলিক প্রমাণের বিকল্প হইতে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III. SA ২৩৮ নং খতিয়ানের আইনি মর্যাদা ও Burden of Proof</w:t>
      </w:r>
    </w:p>
    <w:p>
      <w:r>
        <w:rPr>
          <w:rFonts w:ascii="Kalpurush" w:cs="Kalpurush" w:eastAsia="Kalpurush" w:hAnsi="Kalpurush"/>
        </w:rPr>
        <w:t xml:space="preserve"/>
      </w:r>
    </w:p>
    <w:p>
      <w:r>
        <w:rPr>
          <w:rFonts w:ascii="Kalpurush" w:cs="Kalpurush" w:eastAsia="Kalpurush" w:hAnsi="Kalpurush"/>
          <w:sz w:val="20"/>
          <w:szCs w:val="20"/>
        </w:rPr>
        <w:t xml:space="preserve">বর্তমান record অনুযায়ী SA ২৩৮ হলো একটি গুরুত্বপূর্ণ statutory evidentiary starting point; ইহার বিরুদ্ধে যে party displacement দাবি করে, তাহাকে reliable evidence দ্বারা সেই displacement প্রতিষ্ঠা করিতে হয়।</w:t>
      </w:r>
    </w:p>
    <w:p>
      <w:r>
        <w:rPr>
          <w:rFonts w:ascii="Kalpurush" w:cs="Kalpurush" w:eastAsia="Kalpurush" w:hAnsi="Kalpurush"/>
        </w:rPr>
        <w:t xml:space="preserve"/>
      </w:r>
    </w:p>
    <w:p>
      <w:r>
        <w:rPr>
          <w:rFonts w:ascii="Kalpurush" w:cs="Kalpurush" w:eastAsia="Kalpurush" w:hAnsi="Kalpurush"/>
          <w:sz w:val="20"/>
          <w:szCs w:val="20"/>
        </w:rPr>
        <w:t xml:space="preserve">আপীল্যান্টদের উপর নিজেদের দাবি প্রমাণের আইনি burden অক্ষুণ্ণ থাকিলেও, বিবাদীপক্ষ যখন একটি নির্দিষ্ট পরবর্তী correction-এর affirmative case গ্রহণ করে, সেই particular corrective event-এর existence, legal source ও factual foundation প্রমাণের burden তাহাদের উপর বর্তায়। (Evidence Act, Section 103)। </w:t>
      </w:r>
    </w:p>
    <w:p>
      <w:r>
        <w:rPr>
          <w:rFonts w:ascii="Kalpurush" w:cs="Kalpurush" w:eastAsia="Kalpurush" w:hAnsi="Kalpurush"/>
        </w:rPr>
        <w:t xml:space="preserve"/>
      </w:r>
    </w:p>
    <w:p>
      <w:r>
        <w:rPr>
          <w:rFonts w:ascii="Kalpurush" w:cs="Kalpurush" w:eastAsia="Kalpurush" w:hAnsi="Kalpurush"/>
          <w:sz w:val="20"/>
          <w:szCs w:val="20"/>
        </w:rPr>
        <w:t xml:space="preserve">আপীল্যান্টপক্ষ certified/final SA record দাখিল করিয়াছে। পক্ষান্তরে বিবাদীপক্ষ দাবি করিতেছে যে, আব্দুল আলীর entry ভুল, আব্দুল করিম প্রকৃত tenant ছিলেন, ১৯৬৯ সালে সংশোধন হইয়াছে, এবং সোনাভানু interest পাইয়াছেন। এই affirmative chain-এর factual foundation প্রমাণ করিবার সুনির্দিষ্ট দায় বিবাদীপক্ষের।</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IV. Present Record বনাম Alleged Historical Correction — Burden Sequence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বর্তমান record এবং alleged historical correction-এর মধ্যে একটি গুরুত্বপূর্ণ evidentiary distinction আছে।</w:t>
      </w:r>
    </w:p>
    <w:p>
      <w:r>
        <w:rPr>
          <w:rFonts w:ascii="Kalpurush" w:cs="Kalpurush" w:eastAsia="Kalpurush" w:hAnsi="Kalpurush"/>
        </w:rPr>
        <w:t xml:space="preserve"/>
      </w:r>
    </w:p>
    <w:p>
      <w:r>
        <w:rPr>
          <w:rFonts w:ascii="Kalpurush" w:cs="Kalpurush" w:eastAsia="Kalpurush" w:hAnsi="Kalpurush"/>
          <w:sz w:val="20"/>
          <w:szCs w:val="20"/>
        </w:rPr>
        <w:t xml:space="preserve">বর্তমান SA ২৩৮ একটি identifiable public record, যাহার entry আইনগত presumption বহন করে। পক্ষান্তরে ১৯৬৯ সালের correction একটি historical event—যাহার existence, contents এবং legal effect আজ আদালতের সামনে প্রমাণ করিতে হইবে।</w:t>
      </w:r>
    </w:p>
    <w:p>
      <w:r>
        <w:rPr>
          <w:rFonts w:ascii="Kalpurush" w:cs="Kalpurush" w:eastAsia="Kalpurush" w:hAnsi="Kalpurush"/>
        </w:rPr>
        <w:t xml:space="preserve"/>
      </w:r>
    </w:p>
    <w:p>
      <w:r>
        <w:rPr>
          <w:rFonts w:ascii="Kalpurush" w:cs="Kalpurush" w:eastAsia="Kalpurush" w:hAnsi="Kalpurush"/>
          <w:sz w:val="20"/>
          <w:szCs w:val="20"/>
        </w:rPr>
        <w:t xml:space="preserve">সুতরাং Court-এর কাছে প্রশ্নটি হওয়া উচিত নয়—“কোন গল্পটি বেশি বিশ্বাসযোগ্য?”</w:t>
      </w:r>
    </w:p>
    <w:p>
      <w:r>
        <w:rPr>
          <w:rFonts w:ascii="Kalpurush" w:cs="Kalpurush" w:eastAsia="Kalpurush" w:hAnsi="Kalpurush"/>
          <w:sz w:val="20"/>
          <w:szCs w:val="20"/>
        </w:rPr>
        <w:t xml:space="preserve">বরং প্রশ্ন হওয়া উচিত: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“কোন পক্ষ কোন material fact কোন documentary evidence দ্বারা প্রতিষ্ঠা করেছে?”</w:t>
      </w:r>
    </w:p>
    <w:p>
      <w:r>
        <w:rPr>
          <w:rFonts w:ascii="Kalpurush" w:cs="Kalpurush" w:eastAsia="Kalpurush" w:hAnsi="Kalpurush"/>
        </w:rPr>
        <w:t xml:space="preserve"/>
      </w:r>
    </w:p>
    <w:p>
      <w:r>
        <w:rPr>
          <w:rFonts w:ascii="Kalpurush" w:cs="Kalpurush" w:eastAsia="Kalpurush" w:hAnsi="Kalpurush"/>
          <w:sz w:val="20"/>
          <w:szCs w:val="20"/>
        </w:rPr>
        <w:t xml:space="preserve">এই test প্রয়োগ করিলে:</w:t>
      </w:r>
    </w:p>
    <w:p>
      <w:r>
        <w:rPr>
          <w:rFonts w:ascii="Kalpurush" w:cs="Kalpurush" w:eastAsia="Kalpurush" w:hAnsi="Kalpurush"/>
        </w:rPr>
        <w:t xml:space="preserve"/>
      </w:r>
    </w:p>
    <w:p>
      <w:r>
        <w:rPr>
          <w:rFonts w:ascii="Kalpurush" w:cs="Kalpurush" w:eastAsia="Kalpurush" w:hAnsi="Kalpurush"/>
          <w:b/>
          <w:bCs/>
          <w:sz w:val="20"/>
          <w:szCs w:val="20"/>
        </w:rPr>
        <w:t xml:space="preserve">SA 238 → produced.</w:t>
      </w:r>
    </w:p>
    <w:p>
      <w:r>
        <w:rPr>
          <w:rFonts w:ascii="Kalpurush" w:cs="Kalpurush" w:eastAsia="Kalpurush" w:hAnsi="Kalpurush"/>
          <w:b/>
          <w:bCs/>
          <w:sz w:val="20"/>
          <w:szCs w:val="20"/>
        </w:rPr>
        <w:t xml:space="preserve">Final publication → established.</w:t>
      </w:r>
    </w:p>
    <w:p>
      <w:r>
        <w:rPr>
          <w:rFonts w:ascii="Kalpurush" w:cs="Kalpurush" w:eastAsia="Kalpurush" w:hAnsi="Kalpurush"/>
          <w:b/>
          <w:bCs/>
          <w:sz w:val="20"/>
          <w:szCs w:val="20"/>
        </w:rPr>
        <w:t xml:space="preserve">Current District Record Room position → established.</w:t>
      </w:r>
    </w:p>
    <w:p>
      <w:r>
        <w:rPr>
          <w:rFonts w:ascii="Kalpurush" w:cs="Kalpurush" w:eastAsia="Kalpurush" w:hAnsi="Kalpurush"/>
          <w:b/>
          <w:bCs/>
          <w:sz w:val="20"/>
          <w:szCs w:val="20"/>
        </w:rPr>
        <w:t xml:space="preserve">1957 registered deed → produced.</w:t>
      </w:r>
    </w:p>
    <w:p>
      <w:r>
        <w:rPr>
          <w:rFonts w:ascii="Kalpurush" w:cs="Kalpurush" w:eastAsia="Kalpurush" w:hAnsi="Kalpurush"/>
        </w:rPr>
        <w:t xml:space="preserve"/>
      </w:r>
    </w:p>
    <w:p>
      <w:r>
        <w:rPr>
          <w:rFonts w:ascii="Kalpurush" w:cs="Kalpurush" w:eastAsia="Kalpurush" w:hAnsi="Kalpurush"/>
          <w:sz w:val="20"/>
          <w:szCs w:val="20"/>
        </w:rPr>
        <w:t xml:space="preserve">পক্ষান্তরে:</w:t>
      </w:r>
    </w:p>
    <w:p>
      <w:r>
        <w:rPr>
          <w:rFonts w:ascii="Kalpurush" w:cs="Kalpurush" w:eastAsia="Kalpurush" w:hAnsi="Kalpurush"/>
        </w:rPr>
        <w:t xml:space="preserve"/>
      </w:r>
    </w:p>
    <w:p>
      <w:r>
        <w:rPr>
          <w:rFonts w:ascii="Kalpurush" w:cs="Kalpurush" w:eastAsia="Kalpurush" w:hAnsi="Kalpurush"/>
          <w:b/>
          <w:bCs/>
          <w:sz w:val="20"/>
          <w:szCs w:val="20"/>
        </w:rPr>
        <w:t xml:space="preserve">1934 root tenancy → primary foundation not established.</w:t>
      </w:r>
    </w:p>
    <w:p>
      <w:r>
        <w:rPr>
          <w:rFonts w:ascii="Kalpurush" w:cs="Kalpurush" w:eastAsia="Kalpurush" w:hAnsi="Kalpurush"/>
          <w:b/>
          <w:bCs/>
          <w:sz w:val="20"/>
          <w:szCs w:val="20"/>
        </w:rPr>
        <w:t xml:space="preserve">1969 correction → parent order not established.</w:t>
      </w:r>
    </w:p>
    <w:p>
      <w:r>
        <w:rPr>
          <w:rFonts w:ascii="Kalpurush" w:cs="Kalpurush" w:eastAsia="Kalpurush" w:hAnsi="Kalpurush"/>
          <w:b/>
          <w:bCs/>
          <w:sz w:val="20"/>
          <w:szCs w:val="20"/>
        </w:rPr>
        <w:t xml:space="preserve">Corrected SA position → authoritative documentary manifestation not established.</w:t>
      </w:r>
    </w:p>
    <w:p>
      <w:r>
        <w:rPr>
          <w:rFonts w:ascii="Kalpurush" w:cs="Kalpurush" w:eastAsia="Kalpurush" w:hAnsi="Kalpurush"/>
          <w:b/>
          <w:bCs/>
          <w:sz w:val="20"/>
          <w:szCs w:val="20"/>
        </w:rPr>
        <w:t xml:space="preserve">One-dag theory → contradicted by 1975 registered deed.</w:t>
      </w:r>
    </w:p>
    <w:p>
      <w:r>
        <w:rPr>
          <w:rFonts w:ascii="Kalpurush" w:cs="Kalpurush" w:eastAsia="Kalpurush" w:hAnsi="Kalpurush"/>
        </w:rPr>
        <w:t xml:space="preserve"/>
      </w:r>
    </w:p>
    <w:p>
      <w:r>
        <w:rPr>
          <w:rFonts w:ascii="Kalpurush" w:cs="Kalpurush" w:eastAsia="Kalpurush" w:hAnsi="Kalpurush"/>
          <w:sz w:val="20"/>
          <w:szCs w:val="20"/>
        </w:rPr>
        <w:t xml:space="preserve">অতএব evidentiary balance নয়, </w:t>
      </w:r>
      <w:r>
        <w:rPr>
          <w:rFonts w:ascii="Kalpurush" w:cs="Kalpurush" w:eastAsia="Kalpurush" w:hAnsi="Kalpurush"/>
          <w:b/>
          <w:bCs/>
          <w:sz w:val="20"/>
          <w:szCs w:val="20"/>
        </w:rPr>
        <w:t xml:space="preserve">evidentiary proof</w:t>
      </w:r>
      <w:r>
        <w:rPr>
          <w:rFonts w:ascii="Kalpurush" w:cs="Kalpurush" w:eastAsia="Kalpurush" w:hAnsi="Kalpurush"/>
          <w:sz w:val="20"/>
          <w:szCs w:val="20"/>
        </w:rPr>
        <w:t xml:space="preserve">-এর প্রশ্নেই বিবাদীপক্ষের case দুর্বল হয়ে পড়ে।</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V. CS ২ নং খতিয়ান ও কথিত ১৯৩৪ সালের পত্তন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CS ২ নং খতিয়ানে নালিশী জমি নবাব এস্টেটের খাস সম্পত্তি হিসাবে প্রতিফলিত; কোনো ব্যক্তিগত রায়তের নাম তথায় নাই।</w:t>
      </w:r>
    </w:p>
    <w:p>
      <w:r>
        <w:rPr>
          <w:rFonts w:ascii="Kalpurush" w:cs="Kalpurush" w:eastAsia="Kalpurush" w:hAnsi="Kalpurush"/>
        </w:rPr>
        <w:t xml:space="preserve"/>
      </w:r>
    </w:p>
    <w:p>
      <w:r>
        <w:rPr>
          <w:rFonts w:ascii="Kalpurush" w:cs="Kalpurush" w:eastAsia="Kalpurush" w:hAnsi="Kalpurush"/>
          <w:sz w:val="20"/>
          <w:szCs w:val="20"/>
        </w:rPr>
        <w:t xml:space="preserve">শুধুমাত্র মৌখিক assertion বা অনির্দিষ্ট historical narrative দ্বারা final SA record-এর presumption rebut করা নিরাপদ নয়; competing root tenancy-এর foundation-ও নির্ভরযোগ্য evidence দ্বারা প্রতিষ্ঠিত হওয়া প্রয়োজন।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VI. ১৯৫৭ সালের দলিল নং ২৩৯৮ — Corroborative Circumstance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২৩৯৮/১৯৫৭ নং registered deed-টি সংশ্লিষ্ট ৩ নং দাগের নির্দিষ্ট ভূমির সঙ্গে আব্দুল আলীর একটি contemporaneous registered documentary relationship-এর evidence প্রদান করে। উক্ত ৩ নং দাগের জমি SA ২৩৮-এর অন্তর্ভুক্ত জমির অংশ এবং উক্ত জমির জন্য পৃথক SA parcha প্রদর্শিত হয় নাই—এই factual circumstances-এর সঙ্গে মিলিয়া দলিলটি SA ২৩৮-এর entry-কে corroborate করে।</w:t>
      </w:r>
    </w:p>
    <w:p>
      <w:r>
        <w:rPr>
          <w:rFonts w:ascii="Kalpurush" w:cs="Kalpurush" w:eastAsia="Kalpurush" w:hAnsi="Kalpurush"/>
        </w:rPr>
        <w:t xml:space="preserve"/>
      </w:r>
    </w:p>
    <w:p>
      <w:r>
        <w:rPr>
          <w:rFonts w:ascii="Kalpurush" w:cs="Kalpurush" w:eastAsia="Kalpurush" w:hAnsi="Kalpurush"/>
          <w:sz w:val="20"/>
          <w:szCs w:val="20"/>
        </w:rPr>
        <w:t xml:space="preserve">এই দলিলটি SA ২৩৮-এর আইনি উৎস নহে, কিন্তু এটি একই জমির সহিত আব্দুল আলীর registered relationship-এর evidence প্রদান করে, যাহা পরবর্তী final SA record-এর সহিত সামঞ্জস্যপূর্ণ।</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VII. ১৯৬৯ সালের Misc Case 1181 — মূল আক্রমণের কেন্দ্র</w:t>
      </w:r>
    </w:p>
    <w:p>
      <w:r>
        <w:rPr>
          <w:rFonts w:ascii="Kalpurush" w:cs="Kalpurush" w:eastAsia="Kalpurush" w:hAnsi="Kalpurush"/>
        </w:rPr>
        <w:t xml:space="preserve"/>
      </w:r>
    </w:p>
    <w:p>
      <w:r>
        <w:rPr>
          <w:rFonts w:ascii="Kalpurush" w:cs="Kalpurush" w:eastAsia="Kalpurush" w:hAnsi="Kalpurush"/>
          <w:sz w:val="20"/>
          <w:szCs w:val="20"/>
        </w:rPr>
        <w:t xml:space="preserve">বিবাদীপক্ষের case অনুযায়ী, </w:t>
      </w:r>
      <w:r>
        <w:rPr>
          <w:rFonts w:ascii="Kalpurush" w:cs="Kalpurush" w:eastAsia="Kalpurush" w:hAnsi="Kalpurush"/>
          <w:b/>
          <w:bCs/>
          <w:sz w:val="20"/>
          <w:szCs w:val="20"/>
        </w:rPr>
        <w:t xml:space="preserve">Misc Case No. 1181/1969</w:t>
      </w:r>
      <w:r>
        <w:rPr>
          <w:rFonts w:ascii="Kalpurush" w:cs="Kalpurush" w:eastAsia="Kalpurush" w:hAnsi="Kalpurush"/>
          <w:sz w:val="20"/>
          <w:szCs w:val="20"/>
        </w:rPr>
        <w:t xml:space="preserve"> হইল সেই legal event, যাহার মাধ্যমে SA ২৩৮-এর অবস্থান পরিবর্তিত হইয়া সোনাভানুর interest সৃষ্টি হইয়াছে।</w:t>
      </w:r>
    </w:p>
    <w:p>
      <w:r>
        <w:rPr>
          <w:rFonts w:ascii="Kalpurush" w:cs="Kalpurush" w:eastAsia="Kalpurush" w:hAnsi="Kalpurush"/>
        </w:rPr>
        <w:t xml:space="preserve"/>
      </w:r>
    </w:p>
    <w:p>
      <w:r>
        <w:rPr>
          <w:rFonts w:ascii="Kalpurush" w:cs="Kalpurush" w:eastAsia="Kalpurush" w:hAnsi="Kalpurush"/>
          <w:sz w:val="20"/>
          <w:szCs w:val="20"/>
        </w:rPr>
        <w:t xml:space="preserve">এই corrective event-এর legal effect গ্রহণের পূর্বে আদালতের সামনে অন্তত এই বিষয়গুলো নির্ভরযোগ্যভাবে নিরূপণযোগ্য হওয়া প্রয়োজন:</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Existence:</w:t>
      </w:r>
      <w:r>
        <w:rPr>
          <w:rFonts w:ascii="Kalpurush" w:cs="Kalpurush" w:eastAsia="Kalpurush" w:hAnsi="Kalpurush"/>
          <w:sz w:val="20"/>
          <w:szCs w:val="20"/>
        </w:rPr>
        <w:t xml:space="preserve"> উক্ত proceeding-এর authoritative record কোথায়?</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Contents:</w:t>
      </w:r>
      <w:r>
        <w:rPr>
          <w:rFonts w:ascii="Kalpurush" w:cs="Kalpurush" w:eastAsia="Kalpurush" w:hAnsi="Kalpurush"/>
          <w:sz w:val="20"/>
          <w:szCs w:val="20"/>
        </w:rPr>
        <w:t xml:space="preserve"> যে order-এর উপর বিবাদীপক্ষ নির্ভর করিতেছে, তাহার exact terms কী ছিল?</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Jurisdiction:</w:t>
      </w:r>
      <w:r>
        <w:rPr>
          <w:rFonts w:ascii="Kalpurush" w:cs="Kalpurush" w:eastAsia="Kalpurush" w:hAnsi="Kalpurush"/>
          <w:sz w:val="20"/>
          <w:szCs w:val="20"/>
        </w:rPr>
        <w:t xml:space="preserve"> উক্ত forum-এর substantive issue নির্ধারণের jurisdiction ছিল কি না?</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Parties and Notice:</w:t>
      </w:r>
      <w:r>
        <w:rPr>
          <w:rFonts w:ascii="Kalpurush" w:cs="Kalpurush" w:eastAsia="Kalpurush" w:hAnsi="Kalpurush"/>
          <w:sz w:val="20"/>
          <w:szCs w:val="20"/>
        </w:rPr>
        <w:t xml:space="preserve"> Recorded interest-holder আব্দুল আলী কি পক্ষভুক্ত বা notified ছিলেন?</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Legal Effect:</w:t>
      </w:r>
      <w:r>
        <w:rPr>
          <w:rFonts w:ascii="Kalpurush" w:cs="Kalpurush" w:eastAsia="Kalpurush" w:hAnsi="Kalpurush"/>
          <w:sz w:val="20"/>
          <w:szCs w:val="20"/>
        </w:rPr>
        <w:t xml:space="preserve"> Order-টি title পরিবর্তনের legal effect সৃষ্টি করিতে সক্ষম ছিল কি না?</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Implementation:</w:t>
      </w:r>
      <w:r>
        <w:rPr>
          <w:rFonts w:ascii="Kalpurush" w:cs="Kalpurush" w:eastAsia="Kalpurush" w:hAnsi="Kalpurush"/>
          <w:sz w:val="20"/>
          <w:szCs w:val="20"/>
        </w:rPr>
        <w:t xml:space="preserve"> Order-টি কীভাবে revenue system-এ কার্যকর হইল?</w:t>
      </w:r>
    </w:p>
    <w:p>
      <w:r>
        <w:rPr>
          <w:rFonts w:ascii="Kalpurush" w:cs="Kalpurush" w:eastAsia="Kalpurush" w:hAnsi="Kalpurush"/>
          <w:sz w:val="20"/>
          <w:szCs w:val="20"/>
        </w:rPr>
        <w:t xml:space="preserve">৭. </w:t>
      </w:r>
      <w:r>
        <w:rPr>
          <w:rFonts w:ascii="Kalpurush" w:cs="Kalpurush" w:eastAsia="Kalpurush" w:hAnsi="Kalpurush"/>
          <w:b/>
          <w:bCs/>
          <w:sz w:val="20"/>
          <w:szCs w:val="20"/>
        </w:rPr>
        <w:t xml:space="preserve">Corresponding Record:</w:t>
      </w:r>
      <w:r>
        <w:rPr>
          <w:rFonts w:ascii="Kalpurush" w:cs="Kalpurush" w:eastAsia="Kalpurush" w:hAnsi="Kalpurush"/>
          <w:sz w:val="20"/>
          <w:szCs w:val="20"/>
        </w:rPr>
        <w:t xml:space="preserve"> সংশোধনের authoritative documentary manifestation কোথায়?</w:t>
      </w:r>
    </w:p>
    <w:p>
      <w:r>
        <w:rPr>
          <w:rFonts w:ascii="Kalpurush" w:cs="Kalpurush" w:eastAsia="Kalpurush" w:hAnsi="Kalpurush"/>
        </w:rPr>
        <w:t xml:space="preserve"/>
      </w:r>
    </w:p>
    <w:p>
      <w:r>
        <w:rPr>
          <w:rFonts w:ascii="Kalpurush" w:cs="Kalpurush" w:eastAsia="Kalpurush" w:hAnsi="Kalpurush"/>
          <w:sz w:val="20"/>
          <w:szCs w:val="20"/>
        </w:rPr>
        <w:t xml:space="preserve">এই মৌলিক প্রশ্নগুলির উত্তর ব্যতিরেকে, কেবলমাত্র একটি volume note-এর অস্তিত্ব দ্বারা substantive displacement প্রতিষ্ঠা করা আইন ও প্রমাণের দৃষ্টিতে সম্পূর্ণ ভিত্তিহীন।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VIII. ১৯৭৫ সালের Registered Deed — Material Documentary Inconsistency</w:t>
      </w:r>
    </w:p>
    <w:p>
      <w:r>
        <w:rPr>
          <w:rFonts w:ascii="Kalpurush" w:cs="Kalpurush" w:eastAsia="Kalpurush" w:hAnsi="Kalpurush"/>
        </w:rPr>
        <w:t xml:space="preserve"/>
      </w:r>
    </w:p>
    <w:p>
      <w:r>
        <w:rPr>
          <w:rFonts w:ascii="Kalpurush" w:cs="Kalpurush" w:eastAsia="Kalpurush" w:hAnsi="Kalpurush"/>
          <w:sz w:val="20"/>
          <w:szCs w:val="20"/>
        </w:rPr>
        <w:t xml:space="preserve">বিবাদীপক্ষের case অনুযায়ী, ১৯৬৯ সালের correction-এর ফলে SA ২৩৮ একটি দাগে (১২৫৯) সীমাবদ্ধ হইয়া যায়। </w:t>
      </w:r>
    </w:p>
    <w:p>
      <w:r>
        <w:rPr>
          <w:rFonts w:ascii="Kalpurush" w:cs="Kalpurush" w:eastAsia="Kalpurush" w:hAnsi="Kalpurush"/>
          <w:sz w:val="20"/>
          <w:szCs w:val="20"/>
        </w:rPr>
        <w:t xml:space="preserve">অথচ, তাহাদের নিজেদের সম্পাদিত ১৯৭৫ সালের registered deed (Exhibit Kha-2)-এ SA ২৩৮-এর অধীনে </w:t>
      </w:r>
      <w:r>
        <w:rPr>
          <w:rFonts w:ascii="Kalpurush" w:cs="Kalpurush" w:eastAsia="Kalpurush" w:hAnsi="Kalpurush"/>
          <w:b/>
          <w:bCs/>
          <w:sz w:val="20"/>
          <w:szCs w:val="20"/>
        </w:rPr>
        <w:t xml:space="preserve">ছয়টি দাগের (১২৫৯, ৭৫, ৩, ৫৪, ১২৫২ এবং ১২২০)</w:t>
      </w:r>
      <w:r>
        <w:rPr>
          <w:rFonts w:ascii="Kalpurush" w:cs="Kalpurush" w:eastAsia="Kalpurush" w:hAnsi="Kalpurush"/>
          <w:sz w:val="20"/>
          <w:szCs w:val="20"/>
        </w:rPr>
        <w:t xml:space="preserve"> বিবরণ রহিয়াছে।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"If the alleged 1969 correction had reduced SA 238 to one dag, why does the respondents’ own registered deed of 1975 describe six dags under the same khatian?"</w:t>
      </w:r>
    </w:p>
    <w:p>
      <w:r>
        <w:rPr>
          <w:rFonts w:ascii="Kalpurush" w:cs="Kalpurush" w:eastAsia="Kalpurush" w:hAnsi="Kalpurush"/>
        </w:rPr>
        <w:t xml:space="preserve"/>
      </w:r>
    </w:p>
    <w:p>
      <w:r>
        <w:rPr>
          <w:rFonts w:ascii="Kalpurush" w:cs="Kalpurush" w:eastAsia="Kalpurush" w:hAnsi="Kalpurush"/>
          <w:sz w:val="20"/>
          <w:szCs w:val="20"/>
        </w:rPr>
        <w:t xml:space="preserve">এই material contradiction এক-দাগের alleged correction theory-এর সঙ্গে সরাসরি অসামঞ্জস্য সৃষ্টি করে এবং satisfactory explanation ব্যতিরেকে এই theory-কে final SA record-এর বিরুদ্ধে নির্ভরযোগ্য rebuttal হিসেবে গ্রহণ করা কঠিন করে তোলে।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IX. Parent Order অনুপস্থিত — Consequential Entry-এর আইনি সীমা</w:t>
      </w:r>
    </w:p>
    <w:p>
      <w:r>
        <w:rPr>
          <w:rFonts w:ascii="Kalpurush" w:cs="Kalpurush" w:eastAsia="Kalpurush" w:hAnsi="Kalpurush"/>
        </w:rPr>
        <w:t xml:space="preserve"/>
      </w:r>
    </w:p>
    <w:p>
      <w:r>
        <w:rPr>
          <w:rFonts w:ascii="Kalpurush" w:cs="Kalpurush" w:eastAsia="Kalpurush" w:hAnsi="Kalpurush"/>
          <w:sz w:val="20"/>
          <w:szCs w:val="20"/>
        </w:rPr>
        <w:t xml:space="preserve">আমাদের অবস্থান অত্যন্ত পরিমিত:</w:t>
      </w:r>
    </w:p>
    <w:p>
      <w:pPr>
        <w:ind w:left="720"/>
      </w:pPr>
      <w:r>
        <w:rPr>
          <w:rFonts w:ascii="Kalpurush" w:cs="Kalpurush" w:eastAsia="Kalpurush" w:hAnsi="Kalpurush"/>
          <w:b/>
          <w:bCs/>
          <w:i/>
          <w:iCs/>
          <w:sz w:val="20"/>
          <w:szCs w:val="20"/>
        </w:rPr>
        <w:t xml:space="preserve">"আমরা আদালতকে বলিতেছি না যে AC Land volume entry মিথ্যা। আমরা বলিতেছি, উক্ত entry যে আইনি প্রক্রিয়ার (legal event) ফল বলিয়া দাবি করা হইতেছে, সেই আইনি প্রক্রিয়াটি স্বয়ং প্রমাণিত নহে।"</w:t>
      </w:r>
    </w:p>
    <w:p>
      <w:r>
        <w:rPr>
          <w:rFonts w:ascii="Kalpurush" w:cs="Kalpurush" w:eastAsia="Kalpurush" w:hAnsi="Kalpurush"/>
        </w:rPr>
        <w:t xml:space="preserve"/>
      </w:r>
    </w:p>
    <w:p>
      <w:r>
        <w:rPr>
          <w:rFonts w:ascii="Kalpurush" w:cs="Kalpurush" w:eastAsia="Kalpurush" w:hAnsi="Kalpurush"/>
          <w:sz w:val="20"/>
          <w:szCs w:val="20"/>
        </w:rPr>
        <w:t xml:space="preserve">একটি administrative entry-এর evidentiary value তাহার legal source-এর উপর নির্ভর করে। যদি parent order-ই আদালতে উপস্থাপিত না হয়, তবে consequential entry হইতে parent order-এর substantive effect অনুমান করা সম্পূর্ণ অনিরাপদ এবং বেআইনি।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 District Settlement Record Room-এ সংশোধনের প্রতিফলন না থাকা</w:t>
      </w:r>
    </w:p>
    <w:p>
      <w:r>
        <w:rPr>
          <w:rFonts w:ascii="Kalpurush" w:cs="Kalpurush" w:eastAsia="Kalpurush" w:hAnsi="Kalpurush"/>
        </w:rPr>
        <w:t xml:space="preserve"/>
      </w:r>
    </w:p>
    <w:p>
      <w:r>
        <w:rPr>
          <w:rFonts w:ascii="Kalpurush" w:cs="Kalpurush" w:eastAsia="Kalpurush" w:hAnsi="Kalpurush"/>
          <w:sz w:val="20"/>
          <w:szCs w:val="20"/>
        </w:rPr>
        <w:t xml:space="preserve">যদি ১৯৬৯ সালের alleged correction সত্যিই এমন একটি substantive change সৃষ্টি করিয়া থাকে, যার উপর বর্তমান defendants’ title claim নির্ভরশীল, তবে সেই corrective event-এর authoritative documentary manifestation—parent order, certified proceeding, corrected record, বা সংশ্লিষ্ট official implementation record—এর অন্তত একটি নির্ভরযোগ্যভাবে উপস্থাপিত হওয়া প্রত্যাশিত ছিল। </w:t>
      </w:r>
    </w:p>
    <w:p>
      <w:r>
        <w:rPr>
          <w:rFonts w:ascii="Kalpurush" w:cs="Kalpurush" w:eastAsia="Kalpurush" w:hAnsi="Kalpurush"/>
        </w:rPr>
        <w:t xml:space="preserve"/>
      </w:r>
    </w:p>
    <w:p>
      <w:r>
        <w:rPr>
          <w:rFonts w:ascii="Kalpurush" w:cs="Kalpurush" w:eastAsia="Kalpurush" w:hAnsi="Kalpurush"/>
          <w:sz w:val="20"/>
          <w:szCs w:val="20"/>
        </w:rPr>
        <w:t xml:space="preserve">বর্তমান authoritative record-এর সঙ্গে alleged correction-এর claimed substantive effect-এর একটি material inconsistency রয়েছে, যার ব্যাখ্যা respondents-এর evidence দ্বারা দেওয়া প্রয়োজন। বিশেষত যখন বর্তমান District Settlement Record Room-এর SA ২৩৮ এখনো আব্দুল আলীর একক নাম বহন করিতেছে, এই documentary gap-এর গুরুত্ব সমগ্র evidence-এর সঙ্গে মিলিয়া মূল্যায়ন করিবার বিষয়।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XI. AC Land Volume — নির্দিষ্ট exercise-এর প্রমাণ দাবি</w:t>
      </w:r>
    </w:p>
    <w:p>
      <w:r>
        <w:rPr>
          <w:rFonts w:ascii="Kalpurush" w:cs="Kalpurush" w:eastAsia="Kalpurush" w:hAnsi="Kalpurush"/>
        </w:rPr>
        <w:t xml:space="preserve"/>
      </w:r>
    </w:p>
    <w:p>
      <w:r>
        <w:rPr>
          <w:rFonts w:ascii="Kalpurush" w:cs="Kalpurush" w:eastAsia="Kalpurush" w:hAnsi="Kalpurush"/>
          <w:sz w:val="20"/>
          <w:szCs w:val="20"/>
        </w:rPr>
        <w:t xml:space="preserve">আদালতের সম্মুখে প্রশ্ন হইল: এই নির্দিষ্ট entry কোন proceeding-এর, কোন authority-এর, কোন factual basis-এর, এবং কোন notice/order-এর ফল? </w:t>
      </w:r>
      <w:r>
        <w:rPr>
          <w:rFonts w:ascii="Kalpurush" w:cs="Kalpurush" w:eastAsia="Kalpurush" w:hAnsi="Kalpurush"/>
          <w:b/>
          <w:bCs/>
          <w:sz w:val="20"/>
          <w:szCs w:val="20"/>
        </w:rPr>
        <w:t xml:space="preserve">এই particular exercise-এর proof কোথায়?</w:t>
      </w:r>
      <w:r>
        <w:rPr>
          <w:rFonts w:ascii="Kalpurush" w:cs="Kalpurush" w:eastAsia="Kalpurush" w:hAnsi="Kalpurush"/>
          <w:sz w:val="20"/>
          <w:szCs w:val="20"/>
        </w:rPr>
        <w:t xml:space="preserve"> General statutory power does not prove that this particular 1969 entry was lawfully made।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XII. DW-4-এর সাক্ষ্য — Provenance প্রমাণে ব্যর্থতা</w:t>
      </w:r>
    </w:p>
    <w:p>
      <w:r>
        <w:rPr>
          <w:rFonts w:ascii="Kalpurush" w:cs="Kalpurush" w:eastAsia="Kalpurush" w:hAnsi="Kalpurush"/>
        </w:rPr>
        <w:t xml:space="preserve"/>
      </w:r>
    </w:p>
    <w:p>
      <w:r>
        <w:rPr>
          <w:rFonts w:ascii="Kalpurush" w:cs="Kalpurush" w:eastAsia="Kalpurush" w:hAnsi="Kalpurush"/>
          <w:sz w:val="20"/>
          <w:szCs w:val="20"/>
        </w:rPr>
        <w:t xml:space="preserve">বিবাদীদের তলবকৃত সাক্ষী DW-4 (মোঃ আজম খান)-এর জবানবন্দি অনুযায়ী:</w:t>
      </w:r>
    </w:p>
    <w:p>
      <w:pPr>
        <w:ind w:left="720"/>
      </w:pPr>
      <w:r>
        <w:rPr>
          <w:rFonts w:ascii="Kalpurush" w:cs="Kalpurush" w:eastAsia="Kalpurush" w:hAnsi="Kalpurush"/>
          <w:i/>
          <w:iCs/>
          <w:sz w:val="20"/>
          <w:szCs w:val="20"/>
        </w:rPr>
        <w:t xml:space="preserve">"ভলিউমে মন্তব্য কলামে মিসকেস নাম্বার কত লিখা তা বুঝা যায় না।"</w:t>
      </w:r>
    </w:p>
    <w:p>
      <w:pPr>
        <w:ind w:left="720"/>
      </w:pPr>
      <w:r>
        <w:rPr>
          <w:rFonts w:ascii="Kalpurush" w:cs="Kalpurush" w:eastAsia="Kalpurush" w:hAnsi="Kalpurush"/>
          <w:i/>
          <w:iCs/>
          <w:sz w:val="20"/>
          <w:szCs w:val="20"/>
        </w:rPr>
        <w:t xml:space="preserve">"কে বা কত তারিখ তা লিখা হয়েছে বলতে পারব্বা না।"</w:t>
      </w:r>
    </w:p>
    <w:p>
      <w:pPr>
        <w:ind w:left="720"/>
      </w:pPr>
      <w:r>
        <w:rPr>
          <w:rFonts w:ascii="Kalpurush" w:cs="Kalpurush" w:eastAsia="Kalpurush" w:hAnsi="Kalpurush"/>
          <w:i/>
          <w:iCs/>
          <w:sz w:val="20"/>
          <w:szCs w:val="20"/>
        </w:rPr>
        <w:t xml:space="preserve">"সোনা ভানুর নাম ভিন্ন কালিতে কেন লিখা বলতে পারব না।"</w:t>
      </w:r>
    </w:p>
    <w:p>
      <w:r>
        <w:rPr>
          <w:rFonts w:ascii="Kalpurush" w:cs="Kalpurush" w:eastAsia="Kalpurush" w:hAnsi="Kalpurush"/>
        </w:rPr>
        <w:t xml:space="preserve"/>
      </w:r>
    </w:p>
    <w:p>
      <w:r>
        <w:rPr>
          <w:rFonts w:ascii="Kalpurush" w:cs="Kalpurush" w:eastAsia="Kalpurush" w:hAnsi="Kalpurush"/>
          <w:sz w:val="20"/>
          <w:szCs w:val="20"/>
        </w:rPr>
        <w:t xml:space="preserve">অর্থাৎ, </w:t>
      </w:r>
      <w:r>
        <w:rPr>
          <w:rFonts w:ascii="Kalpurush" w:cs="Kalpurush" w:eastAsia="Kalpurush" w:hAnsi="Kalpurush"/>
          <w:b/>
          <w:bCs/>
          <w:sz w:val="20"/>
          <w:szCs w:val="20"/>
        </w:rPr>
        <w:t xml:space="preserve">DW-4 could not satisfactorily establish the provenance, authorship, or legal source of the entry.</w:t>
      </w:r>
      <w:r>
        <w:rPr>
          <w:rFonts w:ascii="Kalpurush" w:cs="Kalpurush" w:eastAsia="Kalpurush" w:hAnsi="Kalpurush"/>
          <w:sz w:val="20"/>
          <w:szCs w:val="20"/>
        </w:rPr>
        <w:t xml:space="preserve"> </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XIII. "ভিন্ন কালিতে লেখা" — Circumstantial Evidence</w:t>
      </w:r>
    </w:p>
    <w:p>
      <w:r>
        <w:rPr>
          <w:rFonts w:ascii="Kalpurush" w:cs="Kalpurush" w:eastAsia="Kalpurush" w:hAnsi="Kalpurush"/>
        </w:rPr>
        <w:t xml:space="preserve"/>
      </w:r>
    </w:p>
    <w:p>
      <w:r>
        <w:rPr>
          <w:rFonts w:ascii="Kalpurush" w:cs="Kalpurush" w:eastAsia="Kalpurush" w:hAnsi="Kalpurush"/>
          <w:sz w:val="20"/>
          <w:szCs w:val="20"/>
        </w:rPr>
        <w:t xml:space="preserve">ভিন্ন কালি বা হাতের লেখা নিজেই জালিয়াতির অকাট্য প্রমাণ নহে। আমাদের appellate argument হইল:</w:t>
      </w:r>
    </w:p>
    <w:p>
      <w:pPr>
        <w:ind w:left="720"/>
      </w:pPr>
      <w:r>
        <w:rPr>
          <w:rFonts w:ascii="Kalpurush" w:cs="Kalpurush" w:eastAsia="Kalpurush" w:hAnsi="Kalpurush"/>
          <w:b/>
          <w:bCs/>
          <w:i/>
          <w:iCs/>
          <w:sz w:val="20"/>
          <w:szCs w:val="20"/>
        </w:rPr>
        <w:t xml:space="preserve">"The different ink is not relied upon as conclusive proof of fraud. It is relied upon only as a circumstance reinforcing the need for the respondents to establish the entry’s provenance, authorship, and legal source."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XIV. Secondary Contradictions: পরিচয়গত ও দলিলের অসঙ্গতি</w:t>
      </w:r>
    </w:p>
    <w:p>
      <w:r>
        <w:rPr>
          <w:rFonts w:ascii="Kalpurush" w:cs="Kalpurush" w:eastAsia="Kalpurush" w:hAnsi="Kalpurush"/>
        </w:rPr>
        <w:t xml:space="preserve"/>
      </w:r>
    </w:p>
    <w:p>
      <w:r>
        <w:rPr>
          <w:rFonts w:ascii="Kalpurush" w:cs="Kalpurush" w:eastAsia="Kalpurush" w:hAnsi="Kalpurush"/>
          <w:b/>
          <w:bCs/>
          <w:sz w:val="20"/>
          <w:szCs w:val="20"/>
        </w:rPr>
        <w:t xml:space="preserve">Secondary Contradiction:</w:t>
      </w:r>
      <w:r>
        <w:rPr>
          <w:rFonts w:ascii="Kalpurush" w:cs="Kalpurush" w:eastAsia="Kalpurush" w:hAnsi="Kalpurush"/>
          <w:sz w:val="20"/>
          <w:szCs w:val="20"/>
        </w:rPr>
        <w:t xml:space="preserve"> ১৯৭৫ সালের দলিলে বেলুয়ার স্বামীর নাম (সোবান) এবং আরজিতে প্রদত্ত নামের (আব্দুল কদ্দুস) মধ্যে অসামঞ্জস্য রহিয়াছে। This identity discrepancy is relied upon only as a corroborative circumstance, not as a standalone title-displacing fact।</w:t>
      </w:r>
    </w:p>
    <w:p>
      <w:r>
        <w:rPr>
          <w:rFonts w:ascii="Kalpurush" w:cs="Kalpurush" w:eastAsia="Kalpurush" w:hAnsi="Kalpurush"/>
        </w:rPr>
        <w:t xml:space="preserve"/>
      </w:r>
    </w:p>
    <w:p>
      <w:r>
        <w:rPr>
          <w:rFonts w:ascii="Kalpurush" w:cs="Kalpurush" w:eastAsia="Kalpurush" w:hAnsi="Kalpurush"/>
          <w:b/>
          <w:bCs/>
          <w:sz w:val="20"/>
          <w:szCs w:val="20"/>
        </w:rPr>
        <w:t xml:space="preserve">SA ৯১ নং খতিয়ানের অসঙ্গতি:</w:t>
      </w:r>
      <w:r>
        <w:rPr>
          <w:rFonts w:ascii="Kalpurush" w:cs="Kalpurush" w:eastAsia="Kalpurush" w:hAnsi="Kalpurush"/>
          <w:sz w:val="20"/>
          <w:szCs w:val="20"/>
        </w:rPr>
        <w:t xml:space="preserve"> SA 91-এর দাখিলকৃত copy-তে একই Plot 1252-এর repeated entry এবং ভিন্ন area-এর উল্লেখ থাকিলে, এই internal inconsistency-র কারণে উক্ত document-এর evidentiary weight সতর্কতার সঙ্গে মূল্যায়ন করা প্রয়োজন।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XV. Evidence Act Section 114(g) — Adverse Inference</w:t>
      </w:r>
    </w:p>
    <w:p>
      <w:r>
        <w:rPr>
          <w:rFonts w:ascii="Kalpurush" w:cs="Kalpurush" w:eastAsia="Kalpurush" w:hAnsi="Kalpurush"/>
        </w:rPr>
        <w:t xml:space="preserve"/>
      </w:r>
    </w:p>
    <w:p>
      <w:r>
        <w:rPr>
          <w:rFonts w:ascii="Kalpurush" w:cs="Kalpurush" w:eastAsia="Kalpurush" w:hAnsi="Kalpurush"/>
          <w:sz w:val="20"/>
          <w:szCs w:val="20"/>
        </w:rPr>
        <w:t xml:space="preserve">কথিত Misc Case-এর order বা certified record আদালতে উপস্থাপন না করার কারণে Evidence Act-এর Section 114(g) অনুযায়ী বিবাদীপক্ষের বিরুদ্ধে প্রতিকূল অনুমান গ্রহণ করা যাইতে পারে।</w:t>
      </w:r>
    </w:p>
    <w:p>
      <w:pPr>
        <w:ind w:left="720"/>
      </w:pPr>
      <w:r>
        <w:rPr>
          <w:rFonts w:ascii="Kalpurush" w:cs="Kalpurush" w:eastAsia="Kalpurush" w:hAnsi="Kalpurush"/>
          <w:b/>
          <w:bCs/>
          <w:i/>
          <w:iCs/>
          <w:sz w:val="20"/>
          <w:szCs w:val="20"/>
        </w:rPr>
        <w:t xml:space="preserve">"The absence of the best available documentary evidence may, depending upon the entire evidentiary context, support an adverse inference under section 114(g)."</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XVI. "বাদীর দুর্বলতা বিবাদীর স্বত্ব নহে"</w:t>
      </w:r>
    </w:p>
    <w:p>
      <w:r>
        <w:rPr>
          <w:rFonts w:ascii="Kalpurush" w:cs="Kalpurush" w:eastAsia="Kalpurush" w:hAnsi="Kalpurush"/>
        </w:rPr>
        <w:t xml:space="preserve"/>
      </w:r>
    </w:p>
    <w:p>
      <w:r>
        <w:rPr>
          <w:rFonts w:ascii="Kalpurush" w:cs="Kalpurush" w:eastAsia="Kalpurush" w:hAnsi="Kalpurush"/>
          <w:sz w:val="20"/>
          <w:szCs w:val="20"/>
        </w:rPr>
        <w:t xml:space="preserve">Title suit-এ বাদীকে তাহার নিজস্ব স্বত্ব প্রমাণ করিতে হয়, ইহা সত্য। কিন্তু:</w:t>
      </w:r>
    </w:p>
    <w:p>
      <w:pPr>
        <w:ind w:left="720"/>
      </w:pPr>
      <w:r>
        <w:rPr>
          <w:rFonts w:ascii="Kalpurush" w:cs="Kalpurush" w:eastAsia="Kalpurush" w:hAnsi="Kalpurush"/>
          <w:b/>
          <w:bCs/>
          <w:i/>
          <w:iCs/>
          <w:sz w:val="20"/>
          <w:szCs w:val="20"/>
        </w:rPr>
        <w:t xml:space="preserve">"Even where the plaintiff carries the ultimate burden, the court cannot treat an unproved affirmative defence as established merely because the plaintiff did not disprove every speculative component of that defence."</w:t>
      </w:r>
    </w:p>
    <w:p>
      <w:r>
        <w:rPr>
          <w:rFonts w:ascii="Kalpurush" w:cs="Kalpurush" w:eastAsia="Kalpurush" w:hAnsi="Kalpurush"/>
        </w:rPr>
        <w:t xml:space="preserve"/>
      </w:r>
    </w:p>
    <w:p>
      <w:r>
        <w:rPr>
          <w:rFonts w:ascii="Kalpurush" w:cs="Kalpurush" w:eastAsia="Kalpurush" w:hAnsi="Kalpurush"/>
          <w:sz w:val="20"/>
          <w:szCs w:val="20"/>
        </w:rPr>
        <w:t xml:space="preserve">বাদীর প্রমাণের অভাব স্বতঃস্ফূর্তভাবে বিবাদীর অপ্রমাণিত স্বত্বকে বৈধতা দিতে পারে না। </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XVII. Hotchpot Analysis — গাণিতিক অসঙ্গতি</w:t>
      </w:r>
    </w:p>
    <w:p>
      <w:r>
        <w:rPr>
          <w:rFonts w:ascii="Kalpurush" w:cs="Kalpurush" w:eastAsia="Kalpurush" w:hAnsi="Kalpurush"/>
        </w:rPr>
        <w:t xml:space="preserve"/>
      </w:r>
    </w:p>
    <w:p>
      <w:r>
        <w:rPr>
          <w:rFonts w:ascii="Kalpurush" w:cs="Kalpurush" w:eastAsia="Kalpurush" w:hAnsi="Kalpurush"/>
          <w:sz w:val="20"/>
          <w:szCs w:val="20"/>
        </w:rPr>
        <w:t xml:space="preserve">১২৫৯ দাগের মোট আয়তন ৪৭৭ শতাংশ (৪.৭৭ একর)।</w:t>
      </w:r>
    </w:p>
    <w:p>
      <w:r>
        <w:rPr>
          <w:rFonts w:ascii="Kalpurush" w:cs="Kalpurush" w:eastAsia="Kalpurush" w:hAnsi="Kalpurush"/>
          <w:sz w:val="20"/>
          <w:szCs w:val="20"/>
        </w:rPr>
        <w:t xml:space="preserve">সরকারি খাস খতিয়ানভুক্ত জমি ১৩৭ শতাংশ।</w:t>
      </w:r>
    </w:p>
    <w:p>
      <w:r>
        <w:rPr>
          <w:rFonts w:ascii="Kalpurush" w:cs="Kalpurush" w:eastAsia="Kalpurush" w:hAnsi="Kalpurush"/>
          <w:sz w:val="20"/>
          <w:szCs w:val="20"/>
        </w:rPr>
        <w:t xml:space="preserve">অবশিষ্ট = ৩৪০ শতাংশ। যাহা বাদীপক্ষের দাবির সহিত সম্পূর্ণ সামঞ্জস্যপূর্ণ।</w:t>
      </w:r>
    </w:p>
    <w:p>
      <w:r>
        <w:rPr>
          <w:rFonts w:ascii="Kalpurush" w:cs="Kalpurush" w:eastAsia="Kalpurush" w:hAnsi="Kalpurush"/>
        </w:rPr>
        <w:t xml:space="preserve"/>
      </w:r>
    </w:p>
    <w:p>
      <w:r>
        <w:rPr>
          <w:rFonts w:ascii="Kalpurush" w:cs="Kalpurush" w:eastAsia="Kalpurush" w:hAnsi="Kalpurush"/>
          <w:sz w:val="20"/>
          <w:szCs w:val="20"/>
        </w:rPr>
        <w:t xml:space="preserve">On the respondents’ own stated figures, their acreage narrative totals 486 decimals (349 + 137) against the stated total of 477 decimals. Unless the underlying figures are otherwise explained from the record, this creates a material internal inconsistency।</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XVIII. একই Dag ≠ একই Tenancy এবং পক্ষভুক্তির প্রশ্ন</w:t>
      </w:r>
    </w:p>
    <w:p>
      <w:r>
        <w:rPr>
          <w:rFonts w:ascii="Kalpurush" w:cs="Kalpurush" w:eastAsia="Kalpurush" w:hAnsi="Kalpurush"/>
        </w:rPr>
        <w:t xml:space="preserve"/>
      </w:r>
    </w:p>
    <w:p>
      <w:r>
        <w:rPr>
          <w:rFonts w:ascii="Kalpurush" w:cs="Kalpurush" w:eastAsia="Kalpurush" w:hAnsi="Kalpurush"/>
          <w:sz w:val="20"/>
          <w:szCs w:val="20"/>
        </w:rPr>
        <w:t xml:space="preserve">On the evidence, the Government portion is separately recorded in Khas Khatian No. 1, while SA 238 records the private raiyati interest. Therefore, mere identity of dag number does not by itself establish that both interests form one common partition pool। </w:t>
      </w:r>
    </w:p>
    <w:p>
      <w:r>
        <w:rPr>
          <w:rFonts w:ascii="Kalpurush" w:cs="Kalpurush" w:eastAsia="Kalpurush" w:hAnsi="Kalpurush"/>
        </w:rPr>
        <w:t xml:space="preserve"/>
      </w:r>
    </w:p>
    <w:p>
      <w:r>
        <w:rPr>
          <w:rFonts w:ascii="Kalpurush" w:cs="Kalpurush" w:eastAsia="Kalpurush" w:hAnsi="Kalpurush"/>
          <w:sz w:val="20"/>
          <w:szCs w:val="20"/>
        </w:rPr>
        <w:t xml:space="preserve">উক্ত circumstances-এ কেবল একই dag number-এর ভিত্তিতে Government portion-কে mandatory hotchpot component হিসেবে গণ্য করার ভিত্তি পৃথকভাবে প্রতিষ্ঠিত হওয়া প্রয়োজন। যেহেতু আপীল্যান্টরা Government portion-এর উপর কোনো relief দাবি করছেন না, সে অংশের পৃথক khatian/interest-এর legal consequence আদালতের বিবেচনায় আসা প্রয়োজন।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XIX. ১ নং রেসপন্ডেন্টের সোলেনামা</w:t>
      </w:r>
    </w:p>
    <w:p>
      <w:r>
        <w:rPr>
          <w:rFonts w:ascii="Kalpurush" w:cs="Kalpurush" w:eastAsia="Kalpurush" w:hAnsi="Kalpurush"/>
        </w:rPr>
        <w:t xml:space="preserve"/>
      </w:r>
    </w:p>
    <w:p>
      <w:r>
        <w:rPr>
          <w:rFonts w:ascii="Kalpurush" w:cs="Kalpurush" w:eastAsia="Kalpurush" w:hAnsi="Kalpurush"/>
          <w:sz w:val="20"/>
          <w:szCs w:val="20"/>
        </w:rPr>
        <w:t xml:space="preserve">১ নং রেসপন্ডেন্টের solemnama/consent, যদি বিধি অনুসারে বৈধ ও প্রমাণিত হয়, তবে তাহা parties-এর inter se position নির্ধারণে relevant consideration।</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নিবেদন</w:t>
      </w:r>
    </w:p>
    <w:p>
      <w:r>
        <w:rPr>
          <w:rFonts w:ascii="Kalpurush" w:cs="Kalpurush" w:eastAsia="Kalpurush" w:hAnsi="Kalpurush"/>
        </w:rPr>
        <w:t xml:space="preserve"/>
      </w:r>
    </w:p>
    <w:p>
      <w:r>
        <w:rPr>
          <w:rFonts w:ascii="Kalpurush" w:cs="Kalpurush" w:eastAsia="Kalpurush" w:hAnsi="Kalpurush"/>
          <w:b/>
          <w:bCs/>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আপীল্যান্টপক্ষের বক্তব্য অত্যন্ত সুস্পষ্ট:</w:t>
      </w:r>
    </w:p>
    <w:p>
      <w:pPr>
        <w:ind w:left="720"/>
      </w:pPr>
      <w:r>
        <w:rPr>
          <w:rFonts w:ascii="Kalpurush" w:cs="Kalpurush" w:eastAsia="Kalpurush" w:hAnsi="Kalpurush"/>
          <w:b/>
          <w:bCs/>
          <w:i/>
          <w:iCs/>
          <w:sz w:val="20"/>
          <w:szCs w:val="20"/>
        </w:rPr>
        <w:t xml:space="preserve">"মহামান্য আদালত, আমরা SA ২৩৮-কে অখণ্ডনীয় বলছি না; আমরা শুধু বলছি—বিবাদীপক্ষ যে particular corrective event-এর মাধ্যমে এই record displaced হয়েছে বলে দাবি করছে, সেই event-এর existence, legal source এবং implementation নির্ভরযোগ্য প্রমাণে প্রতিষ্ঠিত হয়নি।"</w:t>
      </w:r>
    </w:p>
    <w:p>
      <w:r>
        <w:rPr>
          <w:rFonts w:ascii="Kalpurush" w:cs="Kalpurush" w:eastAsia="Kalpurush" w:hAnsi="Kalpurush"/>
        </w:rPr>
        <w:t xml:space="preserve"/>
      </w:r>
    </w:p>
    <w:p>
      <w:r>
        <w:rPr>
          <w:rFonts w:ascii="Kalpurush" w:cs="Kalpurush" w:eastAsia="Kalpurush" w:hAnsi="Kalpurush"/>
          <w:sz w:val="20"/>
          <w:szCs w:val="20"/>
        </w:rPr>
        <w:t xml:space="preserve">বিবাদীপক্ষ তাদের asserted displacement/correction-এর factual ও documentary foundation প্রতিষ্ঠা করিতে ব্যর্থ হইয়াছে। আমাদের বিনীত নিবেদন—তাহা প্রমাণিত হয় নাই।</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প্রার্থিত প্রতিকার</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আদালতের নিকট বিনীত প্রার্থনা—</w:t>
      </w:r>
    </w:p>
    <w:p>
      <w:r>
        <w:rPr>
          <w:rFonts w:ascii="Kalpurush" w:cs="Kalpurush" w:eastAsia="Kalpurush" w:hAnsi="Kalpurush"/>
        </w:rPr>
        <w:t xml:space="preserve"/>
      </w:r>
    </w:p>
    <w:p>
      <w:r>
        <w:rPr>
          <w:rFonts w:ascii="Kalpurush" w:cs="Kalpurush" w:eastAsia="Kalpurush" w:hAnsi="Kalpurush"/>
          <w:b/>
          <w:bCs/>
          <w:sz w:val="20"/>
          <w:szCs w:val="20"/>
        </w:rPr>
        <w:t xml:space="preserve">(ক)</w:t>
      </w:r>
      <w:r>
        <w:rPr>
          <w:rFonts w:ascii="Kalpurush" w:cs="Kalpurush" w:eastAsia="Kalpurush" w:hAnsi="Kalpurush"/>
          <w:sz w:val="20"/>
          <w:szCs w:val="20"/>
        </w:rPr>
        <w:t xml:space="preserve"> সখিপুর সিভিল জজ আদালতের ০৫/০৪/২০২৬ তারিখের Judgment এবং ০৯/০৪/২০২৬ তারিখের Decree বাতিল ও রহিত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(খ)</w:t>
      </w:r>
      <w:r>
        <w:rPr>
          <w:rFonts w:ascii="Kalpurush" w:cs="Kalpurush" w:eastAsia="Kalpurush" w:hAnsi="Kalpurush"/>
          <w:sz w:val="20"/>
          <w:szCs w:val="20"/>
        </w:rPr>
        <w:t xml:space="preserve"> রেকর্ডে প্রমাণিত SA ২৩৮ নং খতিয়ানের ভিত্তিতে আপীল্যান্টদের প্রাপ্য অংশ নির্ধারণপূর্বক বাটোয়ারার preliminary decree প্রদান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(গ)</w:t>
      </w:r>
      <w:r>
        <w:rPr>
          <w:rFonts w:ascii="Kalpurush" w:cs="Kalpurush" w:eastAsia="Kalpurush" w:hAnsi="Kalpurush"/>
          <w:sz w:val="20"/>
          <w:szCs w:val="20"/>
        </w:rPr>
        <w:t xml:space="preserve"> Government-এর পৃথক khatian/interest-এর উপর কোনো relief না দিয়া কেবল SA ২৩৮-ভুক্ত ব্যক্তিগত সম্পত্তির অংশ নির্ধারণ ও partition-এর জন্য প্রয়োজনীয় ব্যবস্থা গ্রহণ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(ঘ)</w:t>
      </w:r>
      <w:r>
        <w:rPr>
          <w:rFonts w:ascii="Kalpurush" w:cs="Kalpurush" w:eastAsia="Kalpurush" w:hAnsi="Kalpurush"/>
          <w:sz w:val="20"/>
          <w:szCs w:val="20"/>
        </w:rPr>
        <w:t xml:space="preserve"> ন্যায়বিচারের স্বার্থে আপীলটি খরচসহ মঞ্জুর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সবিনয় নিবেদন ইতি।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 Filing-এর পূর্বে Counsel-এর জ্ঞাতব্য</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Jurisdiction (Section 145A/145F):</w:t>
      </w:r>
      <w:r>
        <w:rPr>
          <w:rFonts w:ascii="Kalpurush" w:cs="Kalpurush" w:eastAsia="Kalpurush" w:hAnsi="Kalpurush"/>
          <w:sz w:val="20"/>
          <w:szCs w:val="20"/>
        </w:rPr>
        <w:t xml:space="preserve"> Counsel shall independently satisfy the Court, with reference to the plaint, reliefs, cause of action, institution date, and the existence/territorial jurisdiction of a Land Survey Tribunal, that the present suit/appeal is not one ‘arising out of the final publication of the last revised record-of-rights’ within the meaning of Sections 145A/145F. The fact that SA 238 is the last revised ROR makes this jurisdictional examination essential. </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The 6-Layer Final Locked Theory (শুনানির জন্য):</w:t>
      </w:r>
    </w:p>
    <w:p>
      <w:r>
        <w:rPr>
          <w:rFonts w:ascii="Kalpurush" w:cs="Kalpurush" w:eastAsia="Kalpurush" w:hAnsi="Kalpurush"/>
          <w:sz w:val="20"/>
          <w:szCs w:val="20"/>
        </w:rPr>
        <w:t xml:space="preserve">    1. </w:t>
      </w:r>
      <w:r>
        <w:rPr>
          <w:rFonts w:ascii="Kalpurush" w:cs="Kalpurush" w:eastAsia="Kalpurush" w:hAnsi="Kalpurush"/>
          <w:b/>
          <w:bCs/>
          <w:sz w:val="20"/>
          <w:szCs w:val="20"/>
        </w:rPr>
        <w:t xml:space="preserve">Layer 1:</w:t>
      </w:r>
      <w:r>
        <w:rPr>
          <w:rFonts w:ascii="Kalpurush" w:cs="Kalpurush" w:eastAsia="Kalpurush" w:hAnsi="Kalpurush"/>
          <w:sz w:val="20"/>
          <w:szCs w:val="20"/>
        </w:rPr>
        <w:t xml:space="preserve"> আব্দুল করিমের ১৯৩৪ pattan-এর documentary foundation কী?</w:t>
      </w:r>
    </w:p>
    <w:p>
      <w:r>
        <w:rPr>
          <w:rFonts w:ascii="Kalpurush" w:cs="Kalpurush" w:eastAsia="Kalpurush" w:hAnsi="Kalpurush"/>
          <w:sz w:val="20"/>
          <w:szCs w:val="20"/>
        </w:rPr>
        <w:t xml:space="preserve">    2. </w:t>
      </w:r>
      <w:r>
        <w:rPr>
          <w:rFonts w:ascii="Kalpurush" w:cs="Kalpurush" w:eastAsia="Kalpurush" w:hAnsi="Kalpurush"/>
          <w:b/>
          <w:bCs/>
          <w:sz w:val="20"/>
          <w:szCs w:val="20"/>
        </w:rPr>
        <w:t xml:space="preserve">Layer 2:</w:t>
      </w:r>
      <w:r>
        <w:rPr>
          <w:rFonts w:ascii="Kalpurush" w:cs="Kalpurush" w:eastAsia="Kalpurush" w:hAnsi="Kalpurush"/>
          <w:sz w:val="20"/>
          <w:szCs w:val="20"/>
        </w:rPr>
        <w:t xml:space="preserve"> ধরে নিলেও Abdul Karim-এর কিছু interest ছিল—সেটা কীভাবে Abdul Ali-এর final SA entry-কে displace করল?</w:t>
      </w:r>
    </w:p>
    <w:p>
      <w:r>
        <w:rPr>
          <w:rFonts w:ascii="Kalpurush" w:cs="Kalpurush" w:eastAsia="Kalpurush" w:hAnsi="Kalpurush"/>
          <w:sz w:val="20"/>
          <w:szCs w:val="20"/>
        </w:rPr>
        <w:t xml:space="preserve">    3. </w:t>
      </w:r>
      <w:r>
        <w:rPr>
          <w:rFonts w:ascii="Kalpurush" w:cs="Kalpurush" w:eastAsia="Kalpurush" w:hAnsi="Kalpurush"/>
          <w:b/>
          <w:bCs/>
          <w:sz w:val="20"/>
          <w:szCs w:val="20"/>
        </w:rPr>
        <w:t xml:space="preserve">Layer 3:</w:t>
      </w:r>
      <w:r>
        <w:rPr>
          <w:rFonts w:ascii="Kalpurush" w:cs="Kalpurush" w:eastAsia="Kalpurush" w:hAnsi="Kalpurush"/>
          <w:sz w:val="20"/>
          <w:szCs w:val="20"/>
        </w:rPr>
        <w:t xml:space="preserve"> Misc Case 1181/1969-এর parent order কোথায়?</w:t>
      </w:r>
    </w:p>
    <w:p>
      <w:r>
        <w:rPr>
          <w:rFonts w:ascii="Kalpurush" w:cs="Kalpurush" w:eastAsia="Kalpurush" w:hAnsi="Kalpurush"/>
          <w:sz w:val="20"/>
          <w:szCs w:val="20"/>
        </w:rPr>
        <w:t xml:space="preserve">    4. </w:t>
      </w:r>
      <w:r>
        <w:rPr>
          <w:rFonts w:ascii="Kalpurush" w:cs="Kalpurush" w:eastAsia="Kalpurush" w:hAnsi="Kalpurush"/>
          <w:b/>
          <w:bCs/>
          <w:sz w:val="20"/>
          <w:szCs w:val="20"/>
        </w:rPr>
        <w:t xml:space="preserve">Layer 4:</w:t>
      </w:r>
      <w:r>
        <w:rPr>
          <w:rFonts w:ascii="Kalpurush" w:cs="Kalpurush" w:eastAsia="Kalpurush" w:hAnsi="Kalpurush"/>
          <w:sz w:val="20"/>
          <w:szCs w:val="20"/>
        </w:rPr>
        <w:t xml:space="preserve"> কোন authority, কোন proceeding, কোন notice, কীভাবে implementation?</w:t>
      </w:r>
    </w:p>
    <w:p>
      <w:r>
        <w:rPr>
          <w:rFonts w:ascii="Kalpurush" w:cs="Kalpurush" w:eastAsia="Kalpurush" w:hAnsi="Kalpurush"/>
          <w:sz w:val="20"/>
          <w:szCs w:val="20"/>
        </w:rPr>
        <w:t xml:space="preserve">    5. </w:t>
      </w:r>
      <w:r>
        <w:rPr>
          <w:rFonts w:ascii="Kalpurush" w:cs="Kalpurush" w:eastAsia="Kalpurush" w:hAnsi="Kalpurush"/>
          <w:b/>
          <w:bCs/>
          <w:sz w:val="20"/>
          <w:szCs w:val="20"/>
        </w:rPr>
        <w:t xml:space="preserve">Layer 5:</w:t>
      </w:r>
      <w:r>
        <w:rPr>
          <w:rFonts w:ascii="Kalpurush" w:cs="Kalpurush" w:eastAsia="Kalpurush" w:hAnsi="Kalpurush"/>
          <w:sz w:val="20"/>
          <w:szCs w:val="20"/>
        </w:rPr>
        <w:t xml:space="preserve"> বর্তমান District Settlement Record Room-এ কেন Abdul Ali-ই এখনও recorded?</w:t>
      </w:r>
    </w:p>
    <w:p>
      <w:r>
        <w:rPr>
          <w:rFonts w:ascii="Kalpurush" w:cs="Kalpurush" w:eastAsia="Kalpurush" w:hAnsi="Kalpurush"/>
          <w:sz w:val="20"/>
          <w:szCs w:val="20"/>
        </w:rPr>
        <w:t xml:space="preserve">    6. </w:t>
      </w:r>
      <w:r>
        <w:rPr>
          <w:rFonts w:ascii="Kalpurush" w:cs="Kalpurush" w:eastAsia="Kalpurush" w:hAnsi="Kalpurush"/>
          <w:b/>
          <w:bCs/>
          <w:sz w:val="20"/>
          <w:szCs w:val="20"/>
        </w:rPr>
        <w:t xml:space="preserve">Layer 6:</w:t>
      </w:r>
      <w:r>
        <w:rPr>
          <w:rFonts w:ascii="Kalpurush" w:cs="Kalpurush" w:eastAsia="Kalpurush" w:hAnsi="Kalpurush"/>
          <w:sz w:val="20"/>
          <w:szCs w:val="20"/>
        </w:rPr>
        <w:t xml:space="preserve"> ১৯৭৫ deed-এ six dags—one-dag theory-এর সঙ্গে conflict।</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Authorities:</w:t>
      </w:r>
      <w:r>
        <w:rPr>
          <w:rFonts w:ascii="Kalpurush" w:cs="Kalpurush" w:eastAsia="Kalpurush" w:hAnsi="Kalpurush"/>
          <w:sz w:val="20"/>
          <w:szCs w:val="20"/>
        </w:rPr>
        <w:t xml:space="preserve"> 27 BLD 229, 45 DLR (AD) 124, 53 DLR 19, 50 DLR 186 নজিরগুলির exact ratio অরিজিনাল ল' রিপোর্ট হইতে verify করিবেন। 18 SCOB [2023] AD 20 (Mrigangka Mohan Dhali) mutation-এর authority হিসাবে ব্যবহার করিবেন না।</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2026-08-15T12:28:10.604Z</dcterms:created>
  <dcterms:modified xsi:type="dcterms:W3CDTF">2026-08-15T12:28:10.609Z</dcterms:modified>
</cp:coreProperties>
</file>

<file path=docProps/custom.xml><?xml version="1.0" encoding="utf-8"?>
<Properties xmlns="http://schemas.openxmlformats.org/officeDocument/2006/custom-properties" xmlns:vt="http://schemas.openxmlformats.org/officeDocument/2006/docPropsVTypes"/>
</file>