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50 — Final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পরিচয়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এই আপীলে বাদীপক্ষের বক্তব্য কোনো প্রাক্-SA (Pre-SA) title reconstruction-এর উপর নির্ভরশীল নয়। রাষ্ট্র Estate Acquisition-এর পর নিজস্ব প্রশাসনিক ও জরিপ প্রক্রিয়ার মাধ্যমে SA ২৩৮ নং খতিয়ান প্রস্তুত ও চূড়ান্তভাবে প্রকাশ করে। সেই রেকর্ডে আব্দুল আলী একক রায়ত হিসেবে স্বীকৃত। অতএব বর্তমান বিতর্কের সূচনা বিন্দু ১৯৩৪ সালের কথিত পত্তন নহে; বরং রাষ্ট্র কর্তৃক চূড়ান্তভাবে স্বীকৃত SA Record।</w:t>
      </w:r>
    </w:p>
    <w:p>
      <w:r>
        <w:rPr>
          <w:rFonts w:ascii="Kalpurush" w:cs="Kalpurush" w:eastAsia="Kalpurush" w:hAnsi="Kalpurush"/>
        </w:rPr>
        <w:t xml:space="preserve"/>
      </w:r>
    </w:p>
    <w:p>
      <w:r>
        <w:rPr>
          <w:rFonts w:ascii="Kalpurush" w:cs="Kalpurush" w:eastAsia="Kalpurush" w:hAnsi="Kalpurush"/>
          <w:b/>
          <w:bCs/>
          <w:sz w:val="20"/>
          <w:szCs w:val="20"/>
        </w:rPr>
        <w:t xml:space="preserve">যে পক্ষ এই State Recognition অস্বীকার করে, সেই পক্ষকেই উহা ভাঙিবার জন্য নির্ভরযোগ্য ও আইনসিদ্ধ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The State Record and its Corroboration:</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খতিয়ানই বাদীপক্ষের প্রধান ভিত্তি। ১৩৫৭ বঙ্গাব্দের খাজনা রসিদ এবং ১৯৫৭ সালের রেজিস্ট্রিকৃত দলিল কেবল উক্ত State Record-এর সহায়ক ও সমর্থনকারী পরিস্থিতিগত প্রমাণ (corroborative evidence) হিসেবে বিবেচ্য।</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আব্দুল আলী সংশ্লিষ্ট মৌজায় স্বীয় নামে প্রকাশ্যে সম্পত্তি ক্রয় ও ভোগদখল করিতেছিলেন। উক্ত দলিলে বর্ণিত জমি পরবর্তীকালে SA ২৩৮ নং খতিয়ানের অন্তর্ভুক্ত হওয়ায় প্রতীয়মান হয় যে SA অপারেশন চলাকালীন সময়েই আব্দুল আলী সংশ্লিষ্ট মৌজায় প্রকাশ্য ও স্বীকৃত ভূমি-স্বত্বের অধিকারী ব্যক্তি হিসেবে পরিচিত ছিলেন। ফলে দলিলটি আব্দুল আলীর স্বতন্ত্র সম্পত্তিগত অবস্থান ও স্থানীয় স্বীকৃতির একটি গুরুত্বপূর্ণ corroborative circumstance হিসেবে বিবেচ্য।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rPr>
        <w:t xml:space="preserve"/>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(ক) নবাব এস্টেট তাহাদের রিটার্নে ভুল করিয়াছে</w:t>
      </w:r>
    </w:p>
    <w:p>
      <w:pPr>
        <w:pStyle w:val="ListParagraph"/>
        <w:numPr>
          <w:ilvl w:val="0"/>
          <w:numId w:val="1"/>
        </w:numPr>
      </w:pPr>
      <w:r>
        <w:rPr>
          <w:rFonts w:ascii="Kalpurush" w:cs="Kalpurush" w:eastAsia="Kalpurush" w:hAnsi="Kalpurush"/>
          <w:sz w:val="20"/>
          <w:szCs w:val="20"/>
        </w:rPr>
        <w:t xml:space="preserve">(খ) রিটার্ন প্রস্তুতকারীগণ ভুল করিয়াছেন</w:t>
      </w:r>
    </w:p>
    <w:p>
      <w:pPr>
        <w:pStyle w:val="ListParagraph"/>
        <w:numPr>
          <w:ilvl w:val="0"/>
          <w:numId w:val="1"/>
        </w:numPr>
      </w:pPr>
      <w:r>
        <w:rPr>
          <w:rFonts w:ascii="Kalpurush" w:cs="Kalpurush" w:eastAsia="Kalpurush" w:hAnsi="Kalpurush"/>
          <w:sz w:val="20"/>
          <w:szCs w:val="20"/>
        </w:rPr>
        <w:t xml:space="preserve">(গ) SA জরিপ কর্তৃপক্ষ সরেজমিনে ভুল করিয়াছেন</w:t>
      </w:r>
    </w:p>
    <w:p>
      <w:pPr>
        <w:pStyle w:val="ListParagraph"/>
        <w:numPr>
          <w:ilvl w:val="0"/>
          <w:numId w:val="1"/>
        </w:numPr>
      </w:pPr>
      <w:r>
        <w:rPr>
          <w:rFonts w:ascii="Kalpurush" w:cs="Kalpurush" w:eastAsia="Kalpurush" w:hAnsi="Kalpurush"/>
          <w:sz w:val="20"/>
          <w:szCs w:val="20"/>
        </w:rPr>
        <w:t xml:space="preserve">(ঘ) Draft Khatian আপত্তি পর্যায়ে কেহ ভুল ধরেননি</w:t>
      </w:r>
    </w:p>
    <w:p>
      <w:pPr>
        <w:pStyle w:val="ListParagraph"/>
        <w:numPr>
          <w:ilvl w:val="0"/>
          <w:numId w:val="1"/>
        </w:numPr>
      </w:pPr>
      <w:r>
        <w:rPr>
          <w:rFonts w:ascii="Kalpurush" w:cs="Kalpurush" w:eastAsia="Kalpurush" w:hAnsi="Kalpurush"/>
          <w:sz w:val="20"/>
          <w:szCs w:val="20"/>
        </w:rPr>
        <w:t xml:space="preserve">(ঙ) Appeal পর্যায়ে কেহ ভুল ধরেননি</w:t>
      </w:r>
    </w:p>
    <w:p>
      <w:pPr>
        <w:pStyle w:val="ListParagraph"/>
        <w:numPr>
          <w:ilvl w:val="0"/>
          <w:numId w:val="1"/>
        </w:numPr>
      </w:pPr>
      <w:r>
        <w:rPr>
          <w:rFonts w:ascii="Kalpurush" w:cs="Kalpurush" w:eastAsia="Kalpurush" w:hAnsi="Kalpurush"/>
          <w:sz w:val="20"/>
          <w:szCs w:val="20"/>
        </w:rPr>
        <w:t xml:space="preserve">(চ) Revision পর্যায়ে কেহ ভুল ধরেননি</w:t>
      </w:r>
    </w:p>
    <w:p>
      <w:pPr>
        <w:pStyle w:val="ListParagraph"/>
        <w:numPr>
          <w:ilvl w:val="0"/>
          <w:numId w:val="1"/>
        </w:numPr>
      </w:pPr>
      <w:r>
        <w:rPr>
          <w:rFonts w:ascii="Kalpurush" w:cs="Kalpurush" w:eastAsia="Kalpurush" w:hAnsi="Kalpurush"/>
          <w:sz w:val="20"/>
          <w:szCs w:val="20"/>
        </w:rPr>
        <w:t xml:space="preserve">(ছ) পরবর্তী ৫০ বছরের অধিক সময়েও কেহ মূল রেকর্ড সংশোধন করিতে পারেননি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পূর্ণাঙ্গ Chain of Title প্রদর্শন করিয়াছেন:</w:t>
      </w:r>
    </w:p>
    <w:p>
      <w:r>
        <w:rPr>
          <w:rFonts w:ascii="Kalpurush" w:cs="Kalpurush" w:eastAsia="Kalpurush" w:hAnsi="Kalpurush"/>
          <w:b/>
          <w:bCs/>
          <w:sz w:val="20"/>
          <w:szCs w:val="20"/>
        </w:rPr>
        <w:t xml:space="preserve">CS Record → Estate Return → SA 238 → Record Room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প্রথমটি — ১৯৩৪ সালের কথিত পত্তন। দ্বিতীয়টি — ১৯৬৯ সালের কথিত Misc Case। উভয়ই আইনগতভাবে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কথিত পত্তনের তিনটি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w:t>
      </w:r>
      <w:r>
        <w:rPr>
          <w:rFonts w:ascii="Kalpurush" w:cs="Kalpurush" w:eastAsia="Kalpurush" w:hAnsi="Kalpurush"/>
          <w:sz w:val="20"/>
          <w:szCs w:val="20"/>
        </w:rPr>
        <w:t xml:space="preserve"> 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b/>
          <w:bCs/>
          <w:sz w:val="20"/>
          <w:szCs w:val="20"/>
        </w:rPr>
        <w:t xml:space="preserve">দ্বিতীয়ত — উঠবন্দি প্রথায় বংশানুক্রমিক স্বত্ব সৃষ্টি হয় না:</w:t>
      </w:r>
      <w:r>
        <w:rPr>
          <w:rFonts w:ascii="Kalpurush" w:cs="Kalpurush" w:eastAsia="Kalpurush" w:hAnsi="Kalpurush"/>
          <w:sz w:val="20"/>
          <w:szCs w:val="20"/>
        </w:rPr>
        <w:t xml:space="preserve"> হতেয়া মৌজায় নবাব এস্টেট বাৎসরিক খাজনাভিত্তিক "উঠবন্দি" (Utbandi) পদ্ধতিতে জমি দিত। Bengal Tenancy Act, 1885-এর ধারা 180-এর অধীনে উঠবন্দি প্রজার অধিকার বাৎসরিক ও ব্যক্তিগত — ইহা উত্তরাধিকারে বর্তায় চৈতন্য না এবং ফারায়েজ আইনে বিভক্ত হয় না।</w:t>
      </w:r>
    </w:p>
    <w:p>
      <w:r>
        <w:rPr>
          <w:rFonts w:ascii="Kalpurush" w:cs="Kalpurush" w:eastAsia="Kalpurush" w:hAnsi="Kalpurush"/>
          <w:b/>
          <w:bCs/>
          <w:sz w:val="20"/>
          <w:szCs w:val="20"/>
        </w:rPr>
        <w:t xml:space="preserve">তৃতীয়ত — SAT Act, 1950-এর বিধানে স্বয়ংক্রিয় বিলুপ্তি:</w:t>
      </w:r>
      <w:r>
        <w:rPr>
          <w:rFonts w:ascii="Kalpurush" w:cs="Kalpurush" w:eastAsia="Kalpurush" w:hAnsi="Kalpurush"/>
          <w:sz w:val="20"/>
          <w:szCs w:val="20"/>
        </w:rPr>
        <w:t xml:space="preserve"> রাষ্ট্রীয় অধিগ্রহণের পর পূর্ববর্তী যেকোনো অনিবন্ধিত পত্তনভিত্তিক দাবি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Case-এর মারাত্মক দুর্বলতা (দলিলাদির সম্পূর্ণ অনুপস্থিতি):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যে Misc Case-এর উপর নির্ভর করিয়া একটি finally published State Record পরিবর্তনের দাবি করা হইতেছে, তাহার আদেশ বা certified copy না থাকায় আদালত আদৌ জানিতে পারিতেছেন না যে উহা title matter ছিল, correction matter ছিল, না অন্য কোনো প্রশাসনিক কার্যক্রম ছিল। </w:t>
      </w:r>
    </w:p>
    <w:p>
      <w:r>
        <w:rPr>
          <w:rFonts w:ascii="Kalpurush" w:cs="Kalpurush" w:eastAsia="Kalpurush" w:hAnsi="Kalpurush"/>
        </w:rPr>
        <w:t xml:space="preserve"/>
      </w:r>
    </w:p>
    <w:p>
      <w:r>
        <w:rPr>
          <w:rFonts w:ascii="Kalpurush" w:cs="Kalpurush" w:eastAsia="Kalpurush" w:hAnsi="Kalpurush"/>
          <w:sz w:val="20"/>
          <w:szCs w:val="20"/>
        </w:rPr>
        <w:t xml:space="preserve">অধিকন্তু, আইনের দৃষ্টিতে প্রশ্ন — Misc Case-এর মাধ্যমে কারো স্বত্ব নির্ধারণ করা যায় কি? </w:t>
      </w:r>
    </w:p>
    <w:p>
      <w:pPr>
        <w:pStyle w:val="ListParagraph"/>
        <w:numPr>
          <w:ilvl w:val="0"/>
          <w:numId w:val="1"/>
        </w:numPr>
      </w:pPr>
      <w:r>
        <w:rPr>
          <w:rFonts w:ascii="Kalpurush" w:cs="Kalpurush" w:eastAsia="Kalpurush" w:hAnsi="Kalpurush"/>
          <w:b/>
          <w:bCs/>
          <w:sz w:val="20"/>
          <w:szCs w:val="20"/>
        </w:rPr>
        <w:t xml:space="preserve">Specific Relief Act ধারা ৪২:</w:t>
      </w:r>
      <w:r>
        <w:rPr>
          <w:rFonts w:ascii="Kalpurush" w:cs="Kalpurush" w:eastAsia="Kalpurush" w:hAnsi="Kalpurush"/>
          <w:sz w:val="20"/>
          <w:szCs w:val="20"/>
        </w:rPr>
        <w:t xml:space="preserve"> title declaration কেবল পূর্ণাঙ্গ suit-এর মাধ্যমেই সম্ভব।</w:t>
      </w:r>
    </w:p>
    <w:p>
      <w:pPr>
        <w:pStyle w:val="ListParagraph"/>
        <w:numPr>
          <w:ilvl w:val="0"/>
          <w:numId w:val="1"/>
        </w:numPr>
      </w:pPr>
      <w:r>
        <w:rPr>
          <w:rFonts w:ascii="Kalpurush" w:cs="Kalpurush" w:eastAsia="Kalpurush" w:hAnsi="Kalpurush"/>
          <w:b/>
          <w:bCs/>
          <w:sz w:val="20"/>
          <w:szCs w:val="20"/>
        </w:rPr>
        <w:t xml:space="preserve">SAT Act ধারা ১৪৩/১৪৪:</w:t>
      </w:r>
      <w:r>
        <w:rPr>
          <w:rFonts w:ascii="Kalpurush" w:cs="Kalpurush" w:eastAsia="Kalpurush" w:hAnsi="Kalpurush"/>
          <w:sz w:val="20"/>
          <w:szCs w:val="20"/>
        </w:rPr>
        <w:t xml:space="preserve">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Conduct Test)*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 </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 (The Dependent Invalidity):</w:t>
      </w:r>
    </w:p>
    <w:p>
      <w:r>
        <w:rPr>
          <w:rFonts w:ascii="Kalpurush" w:cs="Kalpurush" w:eastAsia="Kalpurush" w:hAnsi="Kalpurush"/>
          <w:sz w:val="20"/>
          <w:szCs w:val="20"/>
        </w:rPr>
        <w:t xml:space="preserve">যেহেতু ১৯৬৯ সালের Misc Case-টি আদালতে সম্পূর্ণ অপ্রমাণিত (Issue 3), সেহেতু সেই অপ্রমাণিত আদেশের ভিত্তিতে AC Land অফিসে ভিন্ন কালিতে লেখা Volume Note-টিও </w:t>
      </w:r>
      <w:r>
        <w:rPr>
          <w:rFonts w:ascii="Kalpurush" w:cs="Kalpurush" w:eastAsia="Kalpurush" w:hAnsi="Kalpurush"/>
          <w:b/>
          <w:bCs/>
          <w:sz w:val="20"/>
          <w:szCs w:val="20"/>
        </w:rPr>
        <w:t xml:space="preserve">স্বয়ংক্রিয়ভাবে আইনত মূল্যহীন।</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আনুষ্ঠানিক mutation আবেদন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সুনির্দিষ্ট case নম্বর</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রেকর্ডকৃত মালিককে নোটিশ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Tahsildar-এর সরেজমিন তদন্ত</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AC Land-এর স্বাক্ষরিত আনুষ্ঠানিক আদেশ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District Record Room-এ সংশোধন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Register of Alterations-এ এন্ট্রি</w:t>
            </w:r>
          </w:p>
        </w:tc>
        <w:tc>
          <w:p>
            <w:r>
              <w:rPr>
                <w:rFonts w:ascii="Kalpurush" w:cs="Kalpurush" w:eastAsia="Kalpurush" w:hAnsi="Kalpurush"/>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w:t>
      </w:r>
      <w:r>
        <w:rPr>
          <w:rFonts w:ascii="Kalpurush" w:cs="Kalpurush" w:eastAsia="Kalpurush" w:hAnsi="Kalpurush"/>
          <w:b/>
          <w:bCs/>
          <w:sz w:val="20"/>
          <w:szCs w:val="20"/>
        </w:rPr>
        <w:t xml:space="preserve">case file নম্বরবিহীন, notice-বিহীন, order-বিহীন অনিয়মজাত মার্জিন নোট।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0"/>
          <w:szCs w:val="20"/>
        </w:rPr>
        <w:t xml:space="preserve">এই আপীলের উত্তরহীন তিনটি প্রশ্ন (The Silence of the Record Room):</w:t>
      </w:r>
    </w:p>
    <w:p>
      <w:r>
        <w:rPr>
          <w:rFonts w:ascii="Kalpurush" w:cs="Kalpurush" w:eastAsia="Kalpurush" w:hAnsi="Kalpurush"/>
          <w:sz w:val="20"/>
          <w:szCs w:val="20"/>
        </w:rPr>
        <w:t xml:space="preserve">বিবাদীরা ১৯৬৯ সালে সংশোধন হইয়াছে বলিয়া দাবি করেন। তাহা হইলে —</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ট্রায়াল কোর্টের Evidentiary Standard Error এবং অবরুদ্ধ ওয়ারিশ</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বিবাদীপক্ষের দাবিটি কোনো নাম বানানের ভুল বা দাগ নম্বরের গাণিতিক ভুল সংশোধন নহে। তাহারা দাবি করিতেছেন যে একটি চূড়ান্তভাবে প্রকাশিত রাষ্ট্র-স্বীকৃত SA খতিয়ানে লিপিবদ্ধ একজন ব্যক্তির সম্পূর্ণ স্বত্ব কাটিয়া অন্যজনকে দেওয়া হইয়াছে। এটি title-এর সরাসরি প্রতিদ্বন্দ্বী পরিবর্তন (adversarial title displacement) — যাহার জন্য আইন সর্বোচ্চ মানের প্রমাণ (strict evidentiary standard) দাবি করে।</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পরিচয়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 </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 আদালতকে দুইটি পথের মধ্যে একটি বেছে লইতে হইবে। </w:t>
      </w:r>
    </w:p>
    <w:p>
      <w:r>
        <w:rPr>
          <w:rFonts w:ascii="Kalpurush" w:cs="Kalpurush" w:eastAsia="Kalpurush" w:hAnsi="Kalpurush"/>
          <w:b/>
          <w:bCs/>
          <w:sz w:val="20"/>
          <w:szCs w:val="20"/>
        </w:rPr>
        <w:t xml:space="preserve">প্রথম পথ:</w:t>
      </w:r>
      <w:r>
        <w:rPr>
          <w:rFonts w:ascii="Kalpurush" w:cs="Kalpurush" w:eastAsia="Kalpurush" w:hAnsi="Kalpurush"/>
          <w:sz w:val="20"/>
          <w:szCs w:val="20"/>
        </w:rPr>
        <w:t xml:space="preserve"> রাষ্ট্র কর্তৃক প্রস্তুত ও আজও অপরিবর্তিত SA ২৩৮ নং খতিয়ান, নবাব এস্টেটের খাজনা রসিদ, রেজিস্ট্রিকৃত দলিল এবং Section 144A-এর Statutory Presumption। </w:t>
      </w:r>
    </w:p>
    <w:p>
      <w:r>
        <w:rPr>
          <w:rFonts w:ascii="Kalpurush" w:cs="Kalpurush" w:eastAsia="Kalpurush" w:hAnsi="Kalpurush"/>
          <w:b/>
          <w:bCs/>
          <w:sz w:val="20"/>
          <w:szCs w:val="20"/>
        </w:rPr>
        <w:t xml:space="preserve">দ্বিতীয় পথ:</w:t>
      </w:r>
      <w:r>
        <w:rPr>
          <w:rFonts w:ascii="Kalpurush" w:cs="Kalpurush" w:eastAsia="Kalpurush" w:hAnsi="Kalpurush"/>
          <w:sz w:val="20"/>
          <w:szCs w:val="20"/>
        </w:rPr>
        <w:t xml:space="preserve"> একটি অপ্রমাণিত Misc Case, একটি parent-order বিহীন AC Land volume note, এবং নিজেদের ১৯৭৫ সালের দলিল দ্বারা খণ্ডিত প্রতিরক্ষা। </w:t>
      </w:r>
    </w:p>
    <w:p>
      <w:r>
        <w:rPr>
          <w:rFonts w:ascii="Kalpurush" w:cs="Kalpurush" w:eastAsia="Kalpurush" w:hAnsi="Kalpurush"/>
        </w:rPr>
        <w:t xml:space="preserve"/>
      </w:r>
    </w:p>
    <w:p>
      <w:r>
        <w:rPr>
          <w:rFonts w:ascii="Kalpurush" w:cs="Kalpurush" w:eastAsia="Kalpurush" w:hAnsi="Kalpurush"/>
          <w:sz w:val="20"/>
          <w:szCs w:val="20"/>
        </w:rPr>
        <w:t xml:space="preserve">আইন সর্বদা প্রমাণিত রেকর্ডের পক্ষে দাঁড়ায়; অপ্রমাণিত কাহিনীর পক্ষে নয়। অতএব ট্রায়াল কোর্টের রায় রহিত করিয়া আপীল মঞ্জুর ও Preliminary Decree প্রদান ন্যায়সঙ্গত।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5 SCOB (2015) AD 89</w:t>
            </w:r>
          </w:p>
        </w:tc>
        <w:tc>
          <w:p>
            <w:r>
              <w:rPr>
                <w:rFonts w:ascii="Kalpurush" w:cs="Kalpurush" w:eastAsia="Kalpurush" w:hAnsi="Kalpurush"/>
                <w:sz w:val="20"/>
                <w:szCs w:val="20"/>
              </w:rPr>
              <w:t xml:space="preserve">SA খতিয়ানের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23 BLD (AD) 83</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2026-06-11T09:01:22.742Z</dcterms:created>
  <dcterms:modified xsi:type="dcterms:W3CDTF">2026-06-11T09:01:22.742Z</dcterms:modified>
</cp:coreProperties>
</file>

<file path=docProps/custom.xml><?xml version="1.0" encoding="utf-8"?>
<Properties xmlns="http://schemas.openxmlformats.org/officeDocument/2006/custom-properties" xmlns:vt="http://schemas.openxmlformats.org/officeDocument/2006/docPropsVTypes"/>
</file>