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মাস্টার লিখিত যুক্তিতর্ক (Version 79 — Court-Ready Verbatim Oral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মহামান্য আদালতের উদ্দেশ্যে প্রারম্ভিক মৌখিক বক্তব্য ও রোডম্যাপ (Opening Address &amp; 5-Minute Roadmap)</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সিভিল জজ আদালতের বাটোয়ারা মামলা নং ৬৬/২০১৬-এর ০৫-০৪-২০২৬ তারিখের খারিজ রায় ও ০৯-০৪-২০২৬ তারিখের ডিক্রির বিরুদ্ধে আপীল্যান্ট বাদীপক্ষের এই আপীল।*</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১৯৩৪ সালের কথিত পত্তনের সম্পূর্ণ ইতিহাস পুনর্গঠন করা আবশ্যক নহে। বর্তমান বিরোধের মূল প্রশ্ন হলো — রাষ্ট্রের চূড়ান্তভাবে প্রকাশিত SA ২৩৮ নং খতিয়ান, যেখানে আব্দুল আলী ১৬ আনা একক রায়ত হিসেবে রেকর্ডভুক্ত, সেটি পরবর্তীতে কোন বৈধ প্রক্রিয়া ও কোন নির্ভরযোগ্য প্রমাণের মাধ্যমে পরাস্ত হয়েছে।*</w:t>
      </w:r>
    </w:p>
    <w:p>
      <w:r>
        <w:rPr>
          <w:rFonts w:ascii="Kalpurush" w:cs="Kalpurush" w:eastAsia="Kalpurush" w:hAnsi="Kalpurush"/>
        </w:rPr>
        <w:t xml:space="preserve"/>
      </w:r>
    </w:p>
    <w:p>
      <w:r>
        <w:rPr>
          <w:rFonts w:ascii="Kalpurush" w:cs="Kalpurush" w:eastAsia="Kalpurush" w:hAnsi="Kalpurush"/>
          <w:sz w:val="20"/>
          <w:szCs w:val="20"/>
        </w:rPr>
        <w:t xml:space="preserve">*আমরা বলছি না যে একটি চূড়ান্ত প্রকাশিত SA Record কখনো ভুল হতে পারে না। আমরা বলছি — যে পক্ষ ইহাকে ভুল বা পরবর্তীতে সংশোধিত বলিতেছে, সেই পক্ষকে সেই দাবি নির্ভরযোগ্য প্রমাণ দ্বারা প্রতিষ্ঠা করিতে হইবে।*</w:t>
      </w:r>
    </w:p>
    <w:p>
      <w:r>
        <w:rPr>
          <w:rFonts w:ascii="Kalpurush" w:cs="Kalpurush" w:eastAsia="Kalpurush" w:hAnsi="Kalpurush"/>
        </w:rPr>
        <w:t xml:space="preserve"/>
      </w:r>
    </w:p>
    <w:p>
      <w:r>
        <w:rPr>
          <w:rFonts w:ascii="Kalpurush" w:cs="Kalpurush" w:eastAsia="Kalpurush" w:hAnsi="Kalpurush"/>
          <w:sz w:val="20"/>
          <w:szCs w:val="20"/>
        </w:rPr>
        <w:t xml:space="preserve">*এই মামলায় বিবাদীপক্ষের কথিত correction-এর আইনগত উৎস হিসেবে উপস্থাপিত ১১৮১/১৯৬৯ Misc Case-এর কোনো রায়, আদেশ, সইমোহরি কপি বা মূল নথি আদালতে দাখিল করা হয় নাই। সেই কথিত correction-এর ফল হিসেবে AC Land ভলিউমে একটি ভিন্ন কালির entry দেখানো হয়েছে। কিন্তু সেই entry-এর source, provenance এবং legal authority-ও প্রতিষ্ঠিত হয় নাই।*</w:t>
      </w:r>
    </w:p>
    <w:p>
      <w:r>
        <w:rPr>
          <w:rFonts w:ascii="Kalpurush" w:cs="Kalpurush" w:eastAsia="Kalpurush" w:hAnsi="Kalpurush"/>
        </w:rPr>
        <w:t xml:space="preserve"/>
      </w:r>
    </w:p>
    <w:p>
      <w:r>
        <w:rPr>
          <w:rFonts w:ascii="Kalpurush" w:cs="Kalpurush" w:eastAsia="Kalpurush" w:hAnsi="Kalpurush"/>
          <w:sz w:val="20"/>
          <w:szCs w:val="20"/>
        </w:rPr>
        <w:t xml:space="preserve">*উপরন্তু, বিবাদীদের নিজেদের ৩৫৯৬/১৯৭৫ নং registered deed-এ SA ২৩৮-এর অধীনে ছয়টি দাগের বর্ণনা রয়েছে, যেখানে বর্তমান বিরোধে তাঁরা এক-দাগের correction theory-র উপর নির্ভর করছেন।*</w:t>
      </w:r>
    </w:p>
    <w:p>
      <w:r>
        <w:rPr>
          <w:rFonts w:ascii="Kalpurush" w:cs="Kalpurush" w:eastAsia="Kalpurush" w:hAnsi="Kalpurush"/>
        </w:rPr>
        <w:t xml:space="preserve"/>
      </w:r>
    </w:p>
    <w:p>
      <w:r>
        <w:rPr>
          <w:rFonts w:ascii="Kalpurush" w:cs="Kalpurush" w:eastAsia="Kalpurush" w:hAnsi="Kalpurush"/>
          <w:sz w:val="20"/>
          <w:szCs w:val="20"/>
        </w:rPr>
        <w:t xml:space="preserve">*অতএব এই আপীলের প্রকৃত প্রশ্ন 'SA ২৩৮ কি ভুল?' নয়।*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'প্রকৃত প্রশ্ন হলো — যিনি SA ২৩৮ ভুল বা সংশোধিত বলছেন, তিনি সেই ভুল বা correction-এর আইনগত source কোথায় প্রমাণ করেছেন?'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 — প্রয়োজনীয় primary and reliable documentary evidence সেখানে অনুপস্থিত।*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শুনানিতে ৫ মিনিটের সরাসরি পাঠযোগ্য রোডম্যাপ (5-Minute Oral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Recognition):</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আমাদের প্রমাণের কেন্দ্রবিন্দু হলো রাষ্ট্রের Estate Acquisition-পরবর্তী State Recognition এবং finally published SA Record। CS ২ নং খতিয়ানে নালিশী জমি কোনো ব্যক্তিগত রায়তি নামে রেকর্ডভুক্ত ছিল না; জমিটি নবাব এস্টেটের খাস হিসেবে প্রতিফলিত। রাষ্ট্র ১৯৫২ সালে জমিদারী অধিগ্রহণ করিয়া নিজস্ব জরিপ কার্যক্রমে আব্দুল আলীকে একক রায়ত হিসেবে রেকর্ড করিয়াছে এবং জেলা প্রশাসকের সেন্ট্রাল রেকর্ড রুমে আজও সেই সরকারি মূল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volume entry দেখাইয়াছে — কিন্তু যে আদেশের ভিত্তিতে entry-টি allegedly তৈরি, সেই আদেশ কোথায়? কথিত ১১৮১/১৯৬৯ Misc Case-এর existence, contents, jurisdiction, legal effect এবং implementation (Register of Alterations) — এই পাঁচটির কোনো প্রাতিষ্ঠানিক প্রমাণ রেকর্ডে নাই। বিবাদীরা মূল রেকর্ডও তলব করান নাই। মূল আদেশ (Parent Order) অপ্রমাণিত থাকিলে সহকারী কমিশনার (ভূমি) অফিসের একটি ভলিউম নোট নিজে থেকে স্বত্ব প্রমাণ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অখণ্ডনীয় দালিলিক বৈপরীত্য কথিত সংশোধন তত্ত্বের গ্রহণযোগ্যতা সম্পর্কে গুরুতর সন্দেহ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অধীনস্থ ভলিউম নোটকে মূল রেকর্ড রুমের সংবিধিবদ্ধ রেকর্ডের উপরে স্থান দিয়েছেন, এবং (৪) নিজস্ব দলিলের অখণ্ডনীয়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 বিজ্ঞ বিচারিক আদালতের খারিজ সিদ্ধান্তের সংক্ষিপ্ত রূপরেখা</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মূলত তিনটি ভুল ধারণার বশবর্তী হইয়া বাদীপক্ষের বাটোয়ারা মামলাটি খারিজ করিয়াছেন:*</w:t>
      </w:r>
    </w:p>
    <w:p>
      <w:r>
        <w:rPr>
          <w:rFonts w:ascii="Kalpurush" w:cs="Kalpurush" w:eastAsia="Kalpurush" w:hAnsi="Kalpurush"/>
          <w:sz w:val="20"/>
          <w:szCs w:val="20"/>
        </w:rPr>
        <w:t xml:space="preserve">*১. তিনি ধরে নিয়েছেন যে আব্দুল করিম ১৯৩৪ সালের কথিত পত্তনমূলে নালিশী জমির মূল রায়ত ছিলেন এবং উত্তরাধিকারসূত্রে সোনাভানু স্বত্ব লাভ করিয়াছেন — যদিও ইহার কোনো প্রাথমিক দালিলিক প্রমাণ রেকর্ডে দাখিল হয় নাই।*</w:t>
      </w:r>
    </w:p>
    <w:p>
      <w:r>
        <w:rPr>
          <w:rFonts w:ascii="Kalpurush" w:cs="Kalpurush" w:eastAsia="Kalpurush" w:hAnsi="Kalpurush"/>
          <w:sz w:val="20"/>
          <w:szCs w:val="20"/>
        </w:rPr>
        <w:t xml:space="preserve">*২. তিনি ধরে নিয়েছেন যে ১৯৬৯ সালের ১১৮১ নং Misc Case-এর মাধ্যমে SA ২৩৮ খতিয়ান সংশোধিত হইয়া সোনাভানুর স্বত্ব প্রতিষ্ঠিত হইয়াছে — যদিও উক্ত মামলার কোনো আদেশনামা, রায় বা ডিক্রি আদালতে দাখিল হয় নাই।*</w:t>
      </w:r>
    </w:p>
    <w:p>
      <w:r>
        <w:rPr>
          <w:rFonts w:ascii="Kalpurush" w:cs="Kalpurush" w:eastAsia="Kalpurush" w:hAnsi="Kalpurush"/>
          <w:sz w:val="20"/>
          <w:szCs w:val="20"/>
        </w:rPr>
        <w:t xml:space="preserve">*৩. তিনি সহকারী কমিশনার (ভূমি) অফিসের একটি ব্যাখ্যাহীন ভলিউম নোটের উপর নির্ভর করিয়া জেলা রেকর্ড রুমের চূড়ান্ত প্রকাশিত সংবিধিবদ্ধ রেকর্ডকে বাতিল গণ্য করিয়াছেন এবং একই দাগে সরকারি খাস জমি থাকাকে Hotchpot defect গণ্য করিয়াছেন।*</w:t>
      </w:r>
    </w:p>
    <w:p>
      <w:r>
        <w:rPr>
          <w:rFonts w:ascii="Kalpurush" w:cs="Kalpurush" w:eastAsia="Kalpurush" w:hAnsi="Kalpurush"/>
        </w:rPr>
        <w:t xml:space="preserve"/>
      </w:r>
    </w:p>
    <w:p>
      <w:r>
        <w:rPr>
          <w:rFonts w:ascii="Kalpurush" w:cs="Kalpurush" w:eastAsia="Kalpurush" w:hAnsi="Kalpurush"/>
          <w:sz w:val="20"/>
          <w:szCs w:val="20"/>
        </w:rPr>
        <w:t xml:space="preserve">*নিম্নে প্রতিটি সিদ্ধান্তের বিপরীতে দালিলিক ও আইনি খণ্ডন পেশ করিতেছি।"*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 SA ২৩৮ নং খতিয়ান: প্রারম্ভিক ভিত্তি ও ধারা ১৪৪A-এর সংবিধিবদ্ধ অনুমান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*বর্তমান মামলার বিচারিক সূচনা বিন্দু (Starting Point) হইল রাষ্ট্রের চূড়ান্তভাবে প্রকাশিত SA ২৩৮ নং খতিয়ান (প্রদর্শনী-৪)।*</w:t>
      </w:r>
    </w:p>
    <w:p>
      <w:r>
        <w:rPr>
          <w:rFonts w:ascii="Kalpurush" w:cs="Kalpurush" w:eastAsia="Kalpurush" w:hAnsi="Kalpurush"/>
        </w:rPr>
        <w:t xml:space="preserve"/>
      </w:r>
    </w:p>
    <w:p>
      <w:r>
        <w:rPr>
          <w:rFonts w:ascii="Kalpurush" w:cs="Kalpurush" w:eastAsia="Kalpurush" w:hAnsi="Kalpurush"/>
          <w:sz w:val="20"/>
          <w:szCs w:val="20"/>
        </w:rPr>
        <w:t xml:space="preserve">*আমরা বলছি না SA ২৩৮ নিজে title সৃষ্টি করেছে। আমরা বলছি — বর্তমান record অনুযায়ী রাষ্ট্রের final Record of Rights-এ আব্দুল আলীকে ১৬ আনা একক রায়ত হিসেবে record করা হয়েছে। SAT Act, 1950-এর Section 144A অনুযায়ী চূড়ান্তভাবে প্রকাশিত খতিয়ানের পেছনে সংবিধিবদ্ধ নির্ভুলতার অনুমান (Statutory Presumption of Correctness) বিদ্যমান। বাদীপক্ষ জেলা রেকর্ড রুমের সইমোহরি কপি দাখিল করিয়া স্বত্বের প্রাথমিক দালিলিক ভিত্তি সম্পূর্ণরূপে প্রতিষ্ঠিত করিয়াছে।*</w:t>
      </w:r>
    </w:p>
    <w:p>
      <w:r>
        <w:rPr>
          <w:rFonts w:ascii="Kalpurush" w:cs="Kalpurush" w:eastAsia="Kalpurush" w:hAnsi="Kalpurush"/>
        </w:rPr>
        <w:t xml:space="preserve"/>
      </w:r>
    </w:p>
    <w:p>
      <w:r>
        <w:rPr>
          <w:rFonts w:ascii="Kalpurush" w:cs="Kalpurush" w:eastAsia="Kalpurush" w:hAnsi="Kalpurush"/>
          <w:sz w:val="20"/>
          <w:szCs w:val="20"/>
        </w:rPr>
        <w:t xml:space="preserve">*এখানে মহামান্য আদালতের সদয় অবগতির জন্য সুপ্রিম কোর্টের সুপ্রতিষ্ঠিত সিদ্ধান্ত উদ্ধৃত করিতেছি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Assistant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pPr>
        <w:ind w:left="720"/>
      </w:pPr>
      <w:r>
        <w:rPr>
          <w:rFonts w:ascii="Kalpurush" w:cs="Kalpurush" w:eastAsia="Kalpurush" w:hAnsi="Kalpurush"/>
          <w:i/>
          <w:iCs/>
          <w:sz w:val="20"/>
          <w:szCs w:val="20"/>
        </w:rPr>
        <w:t xml:space="preserve">*(বঙ্গানুবাদ: "এস.এ.টি. আইনের ১৪৪A ধারার অধীনে চূড়ান্তভাবে প্রকাশিত ও সংশোধিত খতিয়ানের পেছনে সংবিধিবদ্ধ নির্ভুলতার অনুমান বিদ্যমান এবং নির্ভরযোগ্য সাক্ষ্য দ্বারা খণ্ডন না হওয়া পর্যন্ত সেই অনুমান অব্যাহত থাকে।")*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*"Records of rights prepared under the State Acquisition and Tenancy Act carry a statutory presumption of correctness which must be rebutted by positive and reliable evidence by the party asserting otherwise."*</w:t>
      </w:r>
    </w:p>
    <w:p>
      <w:pPr>
        <w:ind w:left="720"/>
      </w:pPr>
      <w:r>
        <w:rPr>
          <w:rFonts w:ascii="Kalpurush" w:cs="Kalpurush" w:eastAsia="Kalpurush" w:hAnsi="Kalpurush"/>
          <w:i/>
          <w:iCs/>
          <w:sz w:val="20"/>
          <w:szCs w:val="20"/>
        </w:rPr>
        <w:t xml:space="preserve">*(বঙ্গানুবাদ: "স্টেট একুইজিশন অ্যান্ড প্রজাস্বত্ব আইনের অধীনে প্রস্তুতকৃত খতিয়ান সংবিধিবদ্ধ নির্ভুলতার অনুমান বহন করে, যা বিপরীত দাবিদার পক্ষকে ইতিবাচক ও নির্ভরযোগ্য সাক্ষ্য দ্বারা খণ্ডন করতে হবে।")*</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 সুনির্দিষ্ট ও পরিমিত আইনি অবস্থান হইল:*</w:t>
      </w:r>
    </w:p>
    <w:p>
      <w:pPr>
        <w:ind w:left="720"/>
      </w:pPr>
      <w:r>
        <w:rPr>
          <w:rFonts w:ascii="Kalpurush" w:cs="Kalpurush" w:eastAsia="Kalpurush" w:hAnsi="Kalpurush"/>
          <w:b/>
          <w:bCs/>
          <w:i/>
          <w:iCs/>
          <w:sz w:val="20"/>
          <w:szCs w:val="20"/>
        </w:rPr>
        <w:t xml:space="preserve">'SA 238 is presumptively correct; it is rebuttable, but it must be rebutted by reliable evidence — not merely by assertion.'</w:t>
      </w:r>
    </w:p>
    <w:p>
      <w:pPr>
        <w:ind w:left="720"/>
      </w:pPr>
      <w:r>
        <w:rPr>
          <w:rFonts w:ascii="Kalpurush" w:cs="Kalpurush" w:eastAsia="Kalpurush" w:hAnsi="Kalpurush"/>
          <w:i/>
          <w:iCs/>
          <w:sz w:val="20"/>
          <w:szCs w:val="20"/>
        </w:rPr>
        <w:t xml:space="preserve">*(বঙ্গানুবাদ: "এসএ ২৩৮ খতিয়ান আইনত সঠিক বলে অনুমিত; ইহা খণ্ডনযোগ্য, তবে কেবল মৌখিক দাবি দিয়ে নয়, নির্ভরযোগ্য সাক্ষ্য দ্বারাই ইহাকে খণ্ডন করিতে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III. বিবাদীপক্ষের দাবিকৃত Competing Root Tenancy-র দালিলিক ভিত্তিহীনতা</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 যখন SA ২৩৮-এর বিপরীতে একটি competing root tenancy ও উত্তরাধিকার-শৃঙ্খল দাঁড় করাইয়া উক্ত State Record-কে ভুল বলিতেছে, তখন সেই competing root tenancy-র foundational facts ও supporting documents তাহাদেরই প্রমাণের বিষয়। বাদীপক্ষের দাবিকে কেবল অনুমিত pre-SA tenancy দিয়ে পরাজিত করা যায় না।*</w:t>
      </w:r>
    </w:p>
    <w:p>
      <w:r>
        <w:rPr>
          <w:rFonts w:ascii="Kalpurush" w:cs="Kalpurush" w:eastAsia="Kalpurush" w:hAnsi="Kalpurush"/>
        </w:rPr>
        <w:t xml:space="preserve"/>
      </w:r>
    </w:p>
    <w:p>
      <w:r>
        <w:rPr>
          <w:rFonts w:ascii="Kalpurush" w:cs="Kalpurush" w:eastAsia="Kalpurush" w:hAnsi="Kalpurush"/>
          <w:sz w:val="20"/>
          <w:szCs w:val="20"/>
        </w:rPr>
        <w:t xml:space="preserve">*নালিশী সম্পত্তির পূর্ববর্তী CS ২ নং খতিয়ানে নালিশী জমি কোনো ব্যক্তিগত রায়তি নামে রেকর্ডভুক্ত ছিল না; জমিটি ঢাকা নবাব এস্টেটের খাস হিসেবে প্রতিফলিত। জমিদারি আমলে ঢাকা নবাব এস্টেট ১৯০৭ সাল হইতে Court of Wards-এর অধীনে পরিচালিত হইত। Court of Wards-এর নিয়ম অনুযায়ী চিফ ম্যানেজারের লিখিত অনুমোদন ও আনুষ্ঠানিক পাট্টা ব্যতীত কোনো পত্তন বা স্বত্ব সৃষ্টি আইনত অসম্ভব।*</w:t>
      </w:r>
    </w:p>
    <w:p>
      <w:r>
        <w:rPr>
          <w:rFonts w:ascii="Kalpurush" w:cs="Kalpurush" w:eastAsia="Kalpurush" w:hAnsi="Kalpurush"/>
        </w:rPr>
        <w:t xml:space="preserve"/>
      </w:r>
    </w:p>
    <w:p>
      <w:r>
        <w:rPr>
          <w:rFonts w:ascii="Kalpurush" w:cs="Kalpurush" w:eastAsia="Kalpurush" w:hAnsi="Kalpurush"/>
          <w:sz w:val="20"/>
          <w:szCs w:val="20"/>
        </w:rPr>
        <w:t xml:space="preserve">*মহামান্য আপীল বিভাগের সুস্পষ্ট সিদ্ধান্ত উদ্ধৃত করিতেছি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*"Settlement or rent receipts of Court of Wards / Dhaka Nawab Estate without the written approval of the Chief Manager are void ab initio and confer no title."*</w:t>
      </w:r>
    </w:p>
    <w:p>
      <w:pPr>
        <w:ind w:left="720"/>
      </w:pPr>
      <w:r>
        <w:rPr>
          <w:rFonts w:ascii="Kalpurush" w:cs="Kalpurush" w:eastAsia="Kalpurush" w:hAnsi="Kalpurush"/>
          <w:i/>
          <w:iCs/>
          <w:sz w:val="20"/>
          <w:szCs w:val="20"/>
        </w:rPr>
        <w:t xml:space="preserve">*(বঙ্গানুবাদ: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Noor Mohammad Khan vs. Government, 42 DLR (HD) 434:</w:t>
      </w:r>
    </w:p>
    <w:p>
      <w:pPr>
        <w:ind w:left="720"/>
      </w:pPr>
      <w:r>
        <w:rPr>
          <w:rFonts w:ascii="Kalpurush" w:cs="Kalpurush" w:eastAsia="Kalpurush" w:hAnsi="Kalpurush"/>
          <w:i/>
          <w:iCs/>
          <w:sz w:val="20"/>
          <w:szCs w:val="20"/>
        </w:rPr>
        <w:t xml:space="preserve">*"Salami receipts issued without Chief Manager's approval cannot create tenancy rights over Court of Wards lands."*</w:t>
      </w:r>
    </w:p>
    <w:p>
      <w:pPr>
        <w:ind w:left="720"/>
      </w:pPr>
      <w:r>
        <w:rPr>
          <w:rFonts w:ascii="Kalpurush" w:cs="Kalpurush" w:eastAsia="Kalpurush" w:hAnsi="Kalpurush"/>
          <w:i/>
          <w:iCs/>
          <w:sz w:val="20"/>
          <w:szCs w:val="20"/>
        </w:rPr>
        <w:t xml:space="preserve">*(বঙ্গানুবাদ: "চিফ ম্যানেজারের অনুমোদন ছাড়া ইস্যুকৃত সেলামি রসিদ কোর্ট অব ওয়ার্ডসের জমিতে প্রজাস্বত্ব সৃষ্টি করতে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*"Irrespective of whatever title or right was acquired by virtue of the unregistered patta, it had extinguished as a result of State Acquisition under Section 86 of the SAT Act."*</w:t>
      </w:r>
    </w:p>
    <w:p>
      <w:pPr>
        <w:ind w:left="720"/>
      </w:pPr>
      <w:r>
        <w:rPr>
          <w:rFonts w:ascii="Kalpurush" w:cs="Kalpurush" w:eastAsia="Kalpurush" w:hAnsi="Kalpurush"/>
          <w:i/>
          <w:iCs/>
          <w:sz w:val="20"/>
          <w:szCs w:val="20"/>
        </w:rPr>
        <w:t xml:space="preserve">*(বঙ্গানুবাদ: "অনিবন্ধিত পাট্টার মাধ্যমে যে স্বত্ব বা অধিকারই অর্জিত হয়ে থাকুক না কেন, এস.এ.টি. আইনের ৮৬ ধারার অধীনে রাষ্ট্রীয় অধিগ্রহণের ফলে তা বিলুপ্ত হয়ে গেছে।")*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p>
    <w:p>
      <w:pPr>
        <w:ind w:left="720"/>
      </w:pPr>
      <w:r>
        <w:rPr>
          <w:rFonts w:ascii="Kalpurush" w:cs="Kalpurush" w:eastAsia="Kalpurush" w:hAnsi="Kalpurush"/>
          <w:i/>
          <w:iCs/>
          <w:sz w:val="20"/>
          <w:szCs w:val="20"/>
        </w:rPr>
        <w:t xml:space="preserve">*"Tenancy status is determined by zamindari pattan or state recognition, not by personal law of inheritance."*</w:t>
      </w:r>
    </w:p>
    <w:p>
      <w:pPr>
        <w:ind w:left="720"/>
      </w:pPr>
      <w:r>
        <w:rPr>
          <w:rFonts w:ascii="Kalpurush" w:cs="Kalpurush" w:eastAsia="Kalpurush" w:hAnsi="Kalpurush"/>
          <w:i/>
          <w:iCs/>
          <w:sz w:val="20"/>
          <w:szCs w:val="20"/>
        </w:rPr>
        <w:t xml:space="preserve">*(বঙ্গানুবাদ: "প্রজাস্বত্বের মর্যাদা ব্যক্তিগত উত্তরাধিকার আইন দ্বারা নির্ধারিত হয় না, বরং জমিদারী পত্তন বা রাষ্ট্রীয় স্বীকৃতি দ্বারাই নির্ধারিত হয়।")*</w:t>
      </w:r>
    </w:p>
    <w:p>
      <w:r>
        <w:rPr>
          <w:rFonts w:ascii="Kalpurush" w:cs="Kalpurush" w:eastAsia="Kalpurush" w:hAnsi="Kalpurush"/>
        </w:rPr>
        <w:t xml:space="preserve"/>
      </w:r>
    </w:p>
    <w:p>
      <w:r>
        <w:rPr>
          <w:rFonts w:ascii="Kalpurush" w:cs="Kalpurush" w:eastAsia="Kalpurush" w:hAnsi="Kalpurush"/>
          <w:sz w:val="20"/>
          <w:szCs w:val="20"/>
        </w:rPr>
        <w:t xml:space="preserve">*অতএব, বিবাদীপক্ষের root tenancy documentary foundation ছাড়া পরবর্তী inheritance theory-কে স্বাধীন title হিসেবে গ্রহণ করা আইনগতভাবে নিরাপদ নয়।"*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IV. ১৯৫৭ সালের দলিল (Deed No. 2398/1957) — একই জমির সমসাময়িক দালিলিক সমর্থন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*২৩৯৮/১৯৫৭ নং রেজিস্ট্রিকৃত দলিলটি (প্রদর্শনী-২) SA জরিপকালীন সময়ের (১৯৫৬–১৯৬২) সমসাময়িক রেজিস্ট্রিকৃত দলিল। উক্ত দলিলভুক্ত ৩ নং দাগের জমি SA ২৩৮ নং খতিয়ানের অন্তর্ভুক্ত জমিরই অংশ হিসেবে রেকর্ডভুক্ত।*</w:t>
      </w:r>
    </w:p>
    <w:p>
      <w:r>
        <w:rPr>
          <w:rFonts w:ascii="Kalpurush" w:cs="Kalpurush" w:eastAsia="Kalpurush" w:hAnsi="Kalpurush"/>
        </w:rPr>
        <w:t xml:space="preserve"/>
      </w:r>
    </w:p>
    <w:p>
      <w:r>
        <w:rPr>
          <w:rFonts w:ascii="Kalpurush" w:cs="Kalpurush" w:eastAsia="Kalpurush" w:hAnsi="Kalpurush"/>
          <w:sz w:val="20"/>
          <w:szCs w:val="20"/>
        </w:rPr>
        <w:t xml:space="preserve">*আমরা দলিলটিকে SA ২৩৮-এর title source হিসেবে দাবি করিতেছি না। বরং ইহা একটি </w:t>
      </w:r>
      <w:r>
        <w:rPr>
          <w:rFonts w:ascii="Kalpurush" w:cs="Kalpurush" w:eastAsia="Kalpurush" w:hAnsi="Kalpurush"/>
          <w:b/>
          <w:bCs/>
          <w:sz w:val="20"/>
          <w:szCs w:val="20"/>
        </w:rPr>
        <w:t xml:space="preserve">contemporaneous documentary circumstance</w:t>
      </w:r>
      <w:r>
        <w:rPr>
          <w:rFonts w:ascii="Kalpurush" w:cs="Kalpurush" w:eastAsia="Kalpurush" w:hAnsi="Kalpurush"/>
          <w:sz w:val="20"/>
          <w:szCs w:val="20"/>
        </w:rPr>
        <w:t xml:space="preserve">, যাহা দেখায় যে SA জরিপ চলাকালীন আব্দুল আলীর নামে উক্ত ভূমির সঙ্গে একটি প্রকাশ্য, নিবন্ধিত ও নির্দিষ্ট সম্পত্তিগত সম্পর্ক বিদ্যমান ছিল এবং রাষ্ট্রীয় জরিপে সেই জমি SA ২৩৮ খতিয়ানের অন্তর্ভুক্ত হইয়াছে।*</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যদি প্রশ্ন করেন — 'আপনারা যদি ১৯৩৪ সালের পত্তন দাবি না করেন, তবে আব্দুল আলীর স্বত্বের ভিত্তি কী?'*</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w:t>
      </w:r>
    </w:p>
    <w:p>
      <w:pPr>
        <w:ind w:left="720"/>
      </w:pPr>
      <w:r>
        <w:rPr>
          <w:rFonts w:ascii="Kalpurush" w:cs="Kalpurush" w:eastAsia="Kalpurush" w:hAnsi="Kalpurush"/>
          <w:b/>
          <w:bCs/>
          <w:i/>
          <w:iCs/>
          <w:sz w:val="20"/>
          <w:szCs w:val="20"/>
        </w:rPr>
        <w:t xml:space="preserve">'মহামান্য আদালত, আপীল্যান্টদের বর্তমান দাবি আব্দুল করিমের কথিত পত্তনের derivative claim নয়; অতএব বিবাদীদের competing root tenancy-কে বাদীর title-এর উৎস হিসেবে ধরে নিয়ে বাদীর উপর সেই root tenancy প্রমাণ বা খণ্ডনের অতিরিক্ত burden আরোপ করা সঠিক নয়। আমাদের প্রমাণের কেন্দ্রবিন্দু হলো রাষ্ট্রের Estate Acquisition-পরবর্তী State Recognition এবং finally published SA Record।'</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 কথিত ১৯৬৯ সালের Misc Case: Missing Legal Source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অবস্থান অনুযায়ী ১৯৬৯ সালের ১১৮১ নং Misc Case-ই allegedly SA position পরিবর্তনের legal source।*</w:t>
      </w:r>
    </w:p>
    <w:p>
      <w:r>
        <w:rPr>
          <w:rFonts w:ascii="Kalpurush" w:cs="Kalpurush" w:eastAsia="Kalpurush" w:hAnsi="Kalpurush"/>
        </w:rPr>
        <w:t xml:space="preserve"/>
      </w:r>
    </w:p>
    <w:p>
      <w:r>
        <w:rPr>
          <w:rFonts w:ascii="Kalpurush" w:cs="Kalpurush" w:eastAsia="Kalpurush" w:hAnsi="Kalpurush"/>
          <w:sz w:val="20"/>
          <w:szCs w:val="20"/>
        </w:rPr>
        <w:t xml:space="preserve">*তাহলে আমাদের কেন্দ্রীয় ও সবচেয়ে শক্তিশালী প্রশ্ন:*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AC Land volume entry দেখানো হয়েছে — কিন্তু যে আদেশের ভিত্তিতে entry-টি allegedly তৈরি, সেই আদেশ কোথায়?'</w:t>
      </w:r>
    </w:p>
    <w:p>
      <w:r>
        <w:rPr>
          <w:rFonts w:ascii="Kalpurush" w:cs="Kalpurush" w:eastAsia="Kalpurush" w:hAnsi="Kalpurush"/>
        </w:rPr>
        <w:t xml:space="preserve"/>
      </w:r>
    </w:p>
    <w:p>
      <w:r>
        <w:rPr>
          <w:rFonts w:ascii="Kalpurush" w:cs="Kalpurush" w:eastAsia="Kalpurush" w:hAnsi="Kalpurush"/>
          <w:sz w:val="20"/>
          <w:szCs w:val="20"/>
        </w:rPr>
        <w:t xml:space="preserve">*আদালতের সামনে এই পাঁচটি মৌলিক প্রশ্নের উত্তর সম্পূর্ণ অনুপস্থিত:*</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আদেশ কোথায়?</w:t>
      </w:r>
      <w:r>
        <w:rPr>
          <w:rFonts w:ascii="Kalpurush" w:cs="Kalpurush" w:eastAsia="Kalpurush" w:hAnsi="Kalpurush"/>
          <w:sz w:val="20"/>
          <w:szCs w:val="20"/>
        </w:rPr>
        <w:t xml:space="preserve"> (Where is the order itself?)*</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কী আদেশ হয়েছিল?</w:t>
      </w:r>
      <w:r>
        <w:rPr>
          <w:rFonts w:ascii="Kalpurush" w:cs="Kalpurush" w:eastAsia="Kalpurush" w:hAnsi="Kalpurush"/>
          <w:sz w:val="20"/>
          <w:szCs w:val="20"/>
        </w:rPr>
        <w:t xml:space="preserve"> (What were the exact terms of the order?)*</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কোন এখতিয়ারে হয়েছিল?</w:t>
      </w:r>
      <w:r>
        <w:rPr>
          <w:rFonts w:ascii="Kalpurush" w:cs="Kalpurush" w:eastAsia="Kalpurush" w:hAnsi="Kalpurush"/>
          <w:sz w:val="20"/>
          <w:szCs w:val="20"/>
        </w:rPr>
        <w:t xml:space="preserve"> (Under what jurisdiction was it passed?)*</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আব্দুল আলীকে নোটিশ দেওয়া হয়েছিল কি?</w:t>
      </w:r>
      <w:r>
        <w:rPr>
          <w:rFonts w:ascii="Kalpurush" w:cs="Kalpurush" w:eastAsia="Kalpurush" w:hAnsi="Kalpurush"/>
          <w:sz w:val="20"/>
          <w:szCs w:val="20"/>
        </w:rPr>
        <w:t xml:space="preserve"> (Was notice served upon the recorded tenant?)*</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সেই আদেশের ভিত্তিতে SA ২৩৮ কীভাবে আইনসম্মতভাবে পরিবর্তিত হলো?</w:t>
      </w:r>
      <w:r>
        <w:rPr>
          <w:rFonts w:ascii="Kalpurush" w:cs="Kalpurush" w:eastAsia="Kalpurush" w:hAnsi="Kalpurush"/>
          <w:sz w:val="20"/>
          <w:szCs w:val="20"/>
        </w:rPr>
        <w:t xml:space="preserve"> (How was SA 238 legally altered in the Register of Alterations?)*</w:t>
      </w:r>
    </w:p>
    <w:p>
      <w:r>
        <w:rPr>
          <w:rFonts w:ascii="Kalpurush" w:cs="Kalpurush" w:eastAsia="Kalpurush" w:hAnsi="Kalpurush"/>
        </w:rPr>
        <w:t xml:space="preserve"/>
      </w:r>
    </w:p>
    <w:p>
      <w:r>
        <w:rPr>
          <w:rFonts w:ascii="Kalpurush" w:cs="Kalpurush" w:eastAsia="Kalpurush" w:hAnsi="Kalpurush"/>
          <w:sz w:val="20"/>
          <w:szCs w:val="20"/>
        </w:rPr>
        <w:t xml:space="preserve">*বিবাদীপক্ষ আরজি, আদেশনামা, রায়, ডিক্রি বা সইমোহরি কপি — কিছুই দাখিল করে নাই এবং মূল নথিও তলব করায় নাই।*</w:t>
      </w:r>
    </w:p>
    <w:p>
      <w:r>
        <w:rPr>
          <w:rFonts w:ascii="Kalpurush" w:cs="Kalpurush" w:eastAsia="Kalpurush" w:hAnsi="Kalpurush"/>
        </w:rPr>
        <w:t xml:space="preserve"/>
      </w:r>
    </w:p>
    <w:p>
      <w:r>
        <w:rPr>
          <w:rFonts w:ascii="Kalpurush" w:cs="Kalpurush" w:eastAsia="Kalpurush" w:hAnsi="Kalpurush"/>
          <w:sz w:val="20"/>
          <w:szCs w:val="20"/>
        </w:rPr>
        <w:t xml:space="preserve">*সাক্ষ্যগত যুক্তির ভিত্তি (Evidentiary Logic) হইল —*</w:t>
      </w:r>
    </w:p>
    <w:p>
      <w:pPr>
        <w:ind w:left="720"/>
      </w:pPr>
      <w:r>
        <w:rPr>
          <w:rFonts w:ascii="Kalpurush" w:cs="Kalpurush" w:eastAsia="Kalpurush" w:hAnsi="Kalpurush"/>
          <w:b/>
          <w:bCs/>
          <w:i/>
          <w:iCs/>
          <w:sz w:val="20"/>
          <w:szCs w:val="20"/>
        </w:rPr>
        <w:t xml:space="preserve">'We are not asking the Court to assume that the volume entry is false. We are asking a simpler question: what is the legal source of that entry? If the alleged parent order is not proved, the consequential entry cannot, by itself, prove the substantive right supposedly created by that order.'</w:t>
      </w:r>
    </w:p>
    <w:p>
      <w:pPr>
        <w:ind w:left="720"/>
      </w:pPr>
      <w:r>
        <w:rPr>
          <w:rFonts w:ascii="Kalpurush" w:cs="Kalpurush" w:eastAsia="Kalpurush" w:hAnsi="Kalpurush"/>
          <w:i/>
          <w:iCs/>
          <w:sz w:val="20"/>
          <w:szCs w:val="20"/>
        </w:rPr>
        <w:t xml:space="preserve">*(বঙ্গানুবাদ: "আমরা আদালতকে ভলিউম এন্ট্রিটি মিথ্যা ধরে নিতে বলছি না। আমরা একটি সরল প্রশ্ন করছি: সেই এন্ট্রির আইনগত উৎস কী? যদি মূল আদেশই প্রমাণিত না হয়, তবে আনুষঙ্গিক এন্ট্রি নিজে থেকে সেই আদেশের দ্বারা সৃষ্ট কথিত মূল স্বত্ব প্রমাণ করতে পারে না।")*</w:t>
      </w:r>
    </w:p>
    <w:p>
      <w:r>
        <w:rPr>
          <w:rFonts w:ascii="Kalpurush" w:cs="Kalpurush" w:eastAsia="Kalpurush" w:hAnsi="Kalpurush"/>
        </w:rPr>
        <w:t xml:space="preserve"/>
      </w:r>
    </w:p>
    <w:p>
      <w:r>
        <w:rPr>
          <w:rFonts w:ascii="Kalpurush" w:cs="Kalpurush" w:eastAsia="Kalpurush" w:hAnsi="Kalpurush"/>
          <w:sz w:val="20"/>
          <w:szCs w:val="20"/>
        </w:rPr>
        <w:t xml:space="preserve">*আইনি নজির —*</w:t>
      </w:r>
    </w:p>
    <w:p>
      <w:pPr>
        <w:ind w:left="720"/>
      </w:pPr>
      <w:r>
        <w:rPr>
          <w:rFonts w:ascii="Kalpurush" w:cs="Kalpurush" w:eastAsia="Kalpurush" w:hAnsi="Kalpurush"/>
          <w:b/>
          <w:bCs/>
          <w:i/>
          <w:iCs/>
          <w:sz w:val="20"/>
          <w:szCs w:val="20"/>
        </w:rPr>
        <w:t xml:space="preserve">Malay Miah vs. Maharam Ali, 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pPr>
        <w:ind w:left="720"/>
      </w:pPr>
      <w:r>
        <w:rPr>
          <w:rFonts w:ascii="Kalpurush" w:cs="Kalpurush" w:eastAsia="Kalpurush" w:hAnsi="Kalpurush"/>
          <w:i/>
          <w:iCs/>
          <w:sz w:val="20"/>
          <w:szCs w:val="20"/>
        </w:rPr>
        <w:t xml:space="preserve">*(বঙ্গানুবাদ: "মিস মোকদ্দমার সংক্ষিপ্ত প্রক্রিয়ায় স্বত্বের প্রশ্ন নিষ্পত্তি করা যায় না। স্বত্ব ঘোষণার জন্য দেওয়ানি মামলা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 AC Land ভলিউম এন্ট্রি: প্রমাণিক গুরুত্ব ও Provenance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*সহকারী কমিশনার (ভূমি) অফিসের ভলিউম এন্ট্রি সম্পর্কে আমাদের বিনীত অবস্থান:*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the AC Land volume is a genuine revenue record, the respondents must still establish its legal source, nature and authority to alter the substantive interest recorded in SA 238. A revenue volume entry cannot, merely by appearing in a government office book, acquire the evidentiary effect of a judicial or statutory correction order.'</w:t>
      </w:r>
    </w:p>
    <w:p>
      <w:pPr>
        <w:ind w:left="720"/>
      </w:pPr>
      <w:r>
        <w:rPr>
          <w:rFonts w:ascii="Kalpurush" w:cs="Kalpurush" w:eastAsia="Kalpurush" w:hAnsi="Kalpurush"/>
          <w:i/>
          <w:iCs/>
          <w:sz w:val="20"/>
          <w:szCs w:val="20"/>
        </w:rPr>
        <w:t xml:space="preserve">*(বঙ্গানুবাদ: "এমনকি যদি ধরেও নেওয়া হয় যে এসি ল্যান্ড ভলিউম একটি প্রকৃত রাজস্ব রেকর্ড, তবুও বিবাদীপক্ষকে অবশ্যই এসএ ২৩৮-এ রেকর্ডকৃত মূল স্বত্ব পরিবর্তন করার আইনগত উৎস, প্রকৃতি ও কর্তৃত্ব প্রমাণ করতে হবে। একটি রাজস্ব ভলিউম এন্ট্রি কেবল কোনো সরকারি অফিসের বইয়ে দৃশ্যমান হওয়ার কারণেই কোনো বিচারিক বা সংবিধিবদ্ধ সংশোধন আদেশের প্রমাণিক মর্যাদা লাভ করতে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DW-4-এর সাক্ষ্য (Evidence on Record):</w:t>
      </w:r>
    </w:p>
    <w:p>
      <w:r>
        <w:rPr>
          <w:rFonts w:ascii="Kalpurush" w:cs="Kalpurush" w:eastAsia="Kalpurush" w:hAnsi="Kalpurush"/>
          <w:sz w:val="20"/>
          <w:szCs w:val="20"/>
        </w:rPr>
        <w:t xml:space="preserve">*বিবাদীদের সাক্ষী DW-4 আদালতে স্বীকার করিয়াছেন যে —*</w:t>
      </w:r>
    </w:p>
    <w:p>
      <w:pPr>
        <w:pStyle w:val="ListParagraph"/>
        <w:numPr>
          <w:ilvl w:val="0"/>
          <w:numId w:val="1"/>
        </w:numPr>
      </w:pPr>
      <w:r>
        <w:rPr>
          <w:rFonts w:ascii="Kalpurush" w:cs="Kalpurush" w:eastAsia="Kalpurush" w:hAnsi="Kalpurush"/>
          <w:sz w:val="20"/>
          <w:szCs w:val="20"/>
        </w:rPr>
        <w:t xml:space="preserve">*তিনি এন্ট্রির মূল উৎস বা provenance প্রতিষ্ঠা করতে পারেননি;*</w:t>
      </w:r>
    </w:p>
    <w:p>
      <w:pPr>
        <w:pStyle w:val="ListParagraph"/>
        <w:numPr>
          <w:ilvl w:val="0"/>
          <w:numId w:val="1"/>
        </w:numPr>
      </w:pPr>
      <w:r>
        <w:rPr>
          <w:rFonts w:ascii="Kalpurush" w:cs="Kalpurush" w:eastAsia="Kalpurush" w:hAnsi="Kalpurush"/>
          <w:sz w:val="20"/>
          <w:szCs w:val="20"/>
        </w:rPr>
        <w:t xml:space="preserve">*কোনো underlying file বা parent order প্রদর্শন করতে পারেননি;*</w:t>
      </w:r>
    </w:p>
    <w:p>
      <w:pPr>
        <w:pStyle w:val="ListParagraph"/>
        <w:numPr>
          <w:ilvl w:val="0"/>
          <w:numId w:val="1"/>
        </w:numPr>
      </w:pPr>
      <w:r>
        <w:rPr>
          <w:rFonts w:ascii="Kalpurush" w:cs="Kalpurush" w:eastAsia="Kalpurush" w:hAnsi="Kalpurush"/>
          <w:sz w:val="20"/>
          <w:szCs w:val="20"/>
        </w:rPr>
        <w:t xml:space="preserve">*এবং এন্ট্রিটি ভিন্ন কালিতে থাকার বিষয়টি স্বীকার করিয়াছেন।*</w:t>
      </w:r>
    </w:p>
    <w:p>
      <w:r>
        <w:rPr>
          <w:rFonts w:ascii="Kalpurush" w:cs="Kalpurush" w:eastAsia="Kalpurush" w:hAnsi="Kalpurush"/>
        </w:rPr>
        <w:t xml:space="preserve"/>
      </w:r>
    </w:p>
    <w:p>
      <w:r>
        <w:rPr>
          <w:rFonts w:ascii="Kalpurush" w:cs="Kalpurush" w:eastAsia="Kalpurush" w:hAnsi="Kalpurush"/>
          <w:sz w:val="20"/>
          <w:szCs w:val="20"/>
        </w:rPr>
        <w:t xml:space="preserve">*প্রাসঙ্গিক আইনি নজির —*</w:t>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*"A volume note or mutation entry carries no statutory presumption of correctness without the underlying parent order."*</w:t>
      </w:r>
    </w:p>
    <w:p>
      <w:pPr>
        <w:ind w:left="720"/>
      </w:pPr>
      <w:r>
        <w:rPr>
          <w:rFonts w:ascii="Kalpurush" w:cs="Kalpurush" w:eastAsia="Kalpurush" w:hAnsi="Kalpurush"/>
          <w:i/>
          <w:iCs/>
          <w:sz w:val="20"/>
          <w:szCs w:val="20"/>
        </w:rPr>
        <w:t xml:space="preserve">*(বঙ্গানুবাদ: "মূল আদেশ ব্যতীত ভলিউম নোট বা নামজারি এন্ট্রির কোনো সংবিধিবদ্ধ নির্ভুলতার অনুমান থাকে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*"SA Khatian changes made in separate ink or handwriting without a parent judicial order sheet are invalid and legally ineffective."*</w:t>
      </w:r>
    </w:p>
    <w:p>
      <w:pPr>
        <w:ind w:left="720"/>
      </w:pPr>
      <w:r>
        <w:rPr>
          <w:rFonts w:ascii="Kalpurush" w:cs="Kalpurush" w:eastAsia="Kalpurush" w:hAnsi="Kalpurush"/>
          <w:i/>
          <w:iCs/>
          <w:sz w:val="20"/>
          <w:szCs w:val="20"/>
        </w:rPr>
        <w:t xml:space="preserve">*(বঙ্গানুবাদ: "মূল বিচারিক আদেশনামা ছাড়া ভিন্ন কালিতে বা হস্তাক্ষরে এসএ খতিয়ানে কৃত পরিবর্তন অবৈধ এবং আইনত অকার্যকর।")*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বিভাগীয় বেঞ্চ):</w:t>
      </w:r>
    </w:p>
    <w:p>
      <w:pPr>
        <w:ind w:left="720"/>
      </w:pPr>
      <w:r>
        <w:rPr>
          <w:rFonts w:ascii="Kalpurush" w:cs="Kalpurush" w:eastAsia="Kalpurush" w:hAnsi="Kalpurush"/>
          <w:i/>
          <w:iCs/>
          <w:sz w:val="20"/>
          <w:szCs w:val="20"/>
        </w:rPr>
        <w:t xml:space="preserve">*"An administrative ROR entry or procured mutation note cannot override an established title or statutory presumption attached to a finally published record."*</w:t>
      </w:r>
    </w:p>
    <w:p>
      <w:pPr>
        <w:ind w:left="720"/>
      </w:pPr>
      <w:r>
        <w:rPr>
          <w:rFonts w:ascii="Kalpurush" w:cs="Kalpurush" w:eastAsia="Kalpurush" w:hAnsi="Kalpurush"/>
          <w:i/>
          <w:iCs/>
          <w:sz w:val="20"/>
          <w:szCs w:val="20"/>
        </w:rPr>
        <w:t xml:space="preserve">*(বঙ্গানুবাদ: "প্রশাসনিক খতিয়ান এন্ট্রি বা সংগৃহীত নামজারি নোট কোনো প্রতিষ্ঠিত স্বত্ব বা চূড়ান্ত প্রকাশিত রেকর্ডের সংবিধিবদ্ধ অনুমানকে বাতিল করতে পারে না।")*</w:t>
      </w:r>
    </w:p>
    <w:p>
      <w:r>
        <w:rPr>
          <w:rFonts w:ascii="Kalpurush" w:cs="Kalpurush" w:eastAsia="Kalpurush" w:hAnsi="Kalpurush"/>
        </w:rPr>
        <w:t xml:space="preserve"/>
      </w:r>
    </w:p>
    <w:p>
      <w:r>
        <w:rPr>
          <w:rFonts w:ascii="Kalpurush" w:cs="Kalpurush" w:eastAsia="Kalpurush" w:hAnsi="Kalpurush"/>
          <w:sz w:val="20"/>
          <w:szCs w:val="20"/>
        </w:rPr>
        <w:t xml:space="preserve">*অধিকন্তু, অর্ধশতাব্দী পরেও জেলা রেকর্ড রুমের মূল SA ২৩৮ খতিয়ান অপরিবর্তিত থাকা এবং কোনো সংশোধনের অফিশিয়াল ট্রেইল না থাকা disputed volume entry-কে corroboration-বিহীন রেখে দেয়।"*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 ১৯৭৫ সালের রেজিস্ট্রিকৃত দলিল (Deed No. 3596/1975) — দালিলিক বৈপরীত্য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theory:*</w:t>
      </w:r>
    </w:p>
    <w:p>
      <w:r>
        <w:rPr>
          <w:rFonts w:ascii="Kalpurush" w:cs="Kalpurush" w:eastAsia="Kalpurush" w:hAnsi="Kalpurush"/>
          <w:sz w:val="20"/>
          <w:szCs w:val="20"/>
        </w:rPr>
        <w:t xml:space="preserve">$$\text{Alleged 1969 correction} \longrightarrow \text{SA 238 effectively one dag (1259)}$$</w:t>
      </w:r>
    </w:p>
    <w:p>
      <w:r>
        <w:rPr>
          <w:rFonts w:ascii="Kalpurush" w:cs="Kalpurush" w:eastAsia="Kalpurush" w:hAnsi="Kalpurush"/>
        </w:rPr>
        <w:t xml:space="preserve"/>
      </w:r>
    </w:p>
    <w:p>
      <w:r>
        <w:rPr>
          <w:rFonts w:ascii="Kalpurush" w:cs="Kalpurush" w:eastAsia="Kalpurush" w:hAnsi="Kalpurush"/>
          <w:sz w:val="20"/>
          <w:szCs w:val="20"/>
        </w:rPr>
        <w:t xml:space="preserve">*কিন্তু তাহাদের নিজেদের রেজিস্ট্রিকৃত ৩৫৯৬/১৯৭৫ নং দলিলে (Exhibit Kha-1) SA ২৩৮-এর অধীনে ছয়টি দাগের বর্ণনা:*</w:t>
      </w:r>
    </w:p>
    <w:p>
      <w:r>
        <w:rPr>
          <w:rFonts w:ascii="Kalpurush" w:cs="Kalpurush" w:eastAsia="Kalpurush" w:hAnsi="Kalpurush"/>
          <w:sz w:val="20"/>
          <w:szCs w:val="20"/>
        </w:rPr>
        <w:t xml:space="preserve">$$\text{দাগসমূহ: ১২৫৯, ৭৫, ৩, ৫৪, ১২৫২ এবং ১২২০}$$</w:t>
      </w:r>
    </w:p>
    <w:p>
      <w:r>
        <w:rPr>
          <w:rFonts w:ascii="Kalpurush" w:cs="Kalpurush" w:eastAsia="Kalpurush" w:hAnsi="Kalpurush"/>
        </w:rPr>
        <w:t xml:space="preserve"/>
      </w:r>
    </w:p>
    <w:p>
      <w:r>
        <w:rPr>
          <w:rFonts w:ascii="Kalpurush" w:cs="Kalpurush" w:eastAsia="Kalpurush" w:hAnsi="Kalpurush"/>
          <w:sz w:val="20"/>
          <w:szCs w:val="20"/>
        </w:rPr>
        <w:t xml:space="preserve">*তাই আদালতের সামনে প্রশ্নটি খুব স্পষ্ট ও সুনির্দিষ্ট:*</w:t>
      </w:r>
    </w:p>
    <w:p>
      <w:pPr>
        <w:ind w:left="720"/>
      </w:pPr>
      <w:r>
        <w:rPr>
          <w:rFonts w:ascii="Kalpurush" w:cs="Kalpurush" w:eastAsia="Kalpurush" w:hAnsi="Kalpurush"/>
          <w:b/>
          <w:bCs/>
          <w:i/>
          <w:iCs/>
          <w:sz w:val="20"/>
          <w:szCs w:val="20"/>
        </w:rPr>
        <w:t xml:space="preserve">'If the alleged 1969 correction had reduced the SA 238 holding to one dag, why does the respondents' own registered deed of 1975 describe six dags under the same khatian?'</w:t>
      </w:r>
    </w:p>
    <w:p>
      <w:pPr>
        <w:ind w:left="720"/>
      </w:pPr>
      <w:r>
        <w:rPr>
          <w:rFonts w:ascii="Kalpurush" w:cs="Kalpurush" w:eastAsia="Kalpurush" w:hAnsi="Kalpurush"/>
          <w:i/>
          <w:iCs/>
          <w:sz w:val="20"/>
          <w:szCs w:val="20"/>
        </w:rPr>
        <w:t xml:space="preserve">*(বঙ্গানুবাদ: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w:t>
      </w:r>
    </w:p>
    <w:p>
      <w:pPr>
        <w:ind w:left="720"/>
      </w:pPr>
      <w:r>
        <w:rPr>
          <w:rFonts w:ascii="Kalpurush" w:cs="Kalpurush" w:eastAsia="Kalpurush" w:hAnsi="Kalpurush"/>
          <w:b/>
          <w:bCs/>
          <w:i/>
          <w:iCs/>
          <w:sz w:val="20"/>
          <w:szCs w:val="20"/>
        </w:rPr>
        <w:t xml:space="preserve">'এই দালিলিক স্ববিরোধিতা কথিত correction theory-এর credibility এবং alleged legal operation সম্পর্কে গুরুতর সন্দেহ সৃষ্টি করে।'</w:t>
      </w:r>
    </w:p>
    <w:p>
      <w:r>
        <w:rPr>
          <w:rFonts w:ascii="Kalpurush" w:cs="Kalpurush" w:eastAsia="Kalpurush" w:hAnsi="Kalpurush"/>
        </w:rPr>
        <w:t xml:space="preserve"/>
      </w:r>
    </w:p>
    <w:p>
      <w:r>
        <w:rPr>
          <w:rFonts w:ascii="Kalpurush" w:cs="Kalpurush" w:eastAsia="Kalpurush" w:hAnsi="Kalpurush"/>
          <w:sz w:val="20"/>
          <w:szCs w:val="20"/>
        </w:rPr>
        <w:t xml:space="preserve">*নিজের রেজিস্ট্রিকৃত দলিলে ৬ দাগ স্বীকার করিয়া আদালতে ১ দাগের দাবি তোলা Evidence Act-এর Section 17, 18, 21 ও 115 অনুযায়ী চরম স্ববিরোধী ও আইনত বারিত।"*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VIII. সহায়ক পরিস্থিতিগত প্রমাণ (Supporting Circumstances)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৮.১ সোনাভানুর অন্য ওয়ারিশদের বাদ পড়া (Selective Entry):</w:t>
      </w:r>
    </w:p>
    <w:p>
      <w:r>
        <w:rPr>
          <w:rFonts w:ascii="Kalpurush" w:cs="Kalpurush" w:eastAsia="Kalpurush" w:hAnsi="Kalpurush"/>
          <w:sz w:val="20"/>
          <w:szCs w:val="20"/>
        </w:rPr>
        <w:t xml:space="preserve">*বিবাদীপক্ষ যদি ইহাকে প্রকৃত উত্তরাধিকার নির্ধারণকারী বিচারিক সংশোধন হিসেবে দাবি করে, তবে অন্যান্য দাবিকৃত ওয়ারিশদের (বেলুয়া ও কমলা) বাদ পড়ার কারণটি ব্যাখ্যা করা আবশ্যক।*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৮.২ গাণিতিক অসামঞ্জস্য (Arithmetic Discrepancy):</w:t>
      </w:r>
    </w:p>
    <w:p>
      <w:pPr>
        <w:pStyle w:val="ListParagraph"/>
        <w:numPr>
          <w:ilvl w:val="0"/>
          <w:numId w:val="1"/>
        </w:numPr>
      </w:pPr>
      <w:r>
        <w:rPr>
          <w:rFonts w:ascii="Kalpurush" w:cs="Kalpurush" w:eastAsia="Kalpurush" w:hAnsi="Kalpurush"/>
          <w:sz w:val="20"/>
          <w:szCs w:val="20"/>
        </w:rPr>
        <w:t xml:space="preserve">*বাদীপক্ষের হিসাব:* ৩৪০ শতাংশ + সরকারি খাস ১৩৭ শতাংশ = ৪৭৭ শতাংশ (দাগের মোট আয়তন)।</w:t>
      </w:r>
    </w:p>
    <w:p>
      <w:pPr>
        <w:pStyle w:val="ListParagraph"/>
        <w:numPr>
          <w:ilvl w:val="0"/>
          <w:numId w:val="1"/>
        </w:numPr>
      </w:pPr>
      <w:r>
        <w:rPr>
          <w:rFonts w:ascii="Kalpurush" w:cs="Kalpurush" w:eastAsia="Kalpurush" w:hAnsi="Kalpurush"/>
          <w:sz w:val="20"/>
          <w:szCs w:val="20"/>
        </w:rPr>
        <w:t xml:space="preserve">*বিবাদীপক্ষের হিসাব:* ৩৪৯ শতাংশ + সরকারি খাস ১৩৭ শতাংশ = ৪৮৬ শতাংশ (৯ শতাংশ অতিরিক্ত জমি)।</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'Respondents’ acreage/share narrative requires explanation.'</w:t>
      </w:r>
    </w:p>
    <w:p>
      <w:pPr>
        <w:ind w:left="720"/>
      </w:pPr>
      <w:r>
        <w:rPr>
          <w:rFonts w:ascii="Kalpurush" w:cs="Kalpurush" w:eastAsia="Kalpurush" w:hAnsi="Kalpurush"/>
          <w:i/>
          <w:iCs/>
          <w:sz w:val="20"/>
          <w:szCs w:val="20"/>
        </w:rPr>
        <w:t xml:space="preserve">*(বঙ্গানুবাদ: "বিবাদীপক্ষের জমির পরিমাণ ও অংশের বর্ণনায় যে অসামঞ্জস্য রয়েছে, তার আইনগত ব্যাখ্যা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IX. Hotchpot ও পক্ষদোষ (Non-joinder) সংক্রান্ত সঠিক আইনি অবস্থান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*১. একই dag number থাকিলেই সমগ্র জমি একই tenancy বা একই proprietary interest-এর অংশ হয়ে যায় না; এখানে Government অংশ পৃথক khatian-এ এবং plaintiffs-এর দাবি SA ২৩৮-এর recorded interest-এ সীমাবদ্ধ। The alleged Government land is neither claimed by the plaintiffs nor sought to be partitioned. পৃথক খতিয়ানের জমি বাদ দিলে আংশিক বাটোয়ারার কোনো দোষ ঘটে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w:t>
      </w:r>
    </w:p>
    <w:p>
      <w:pPr>
        <w:ind w:left="720"/>
      </w:pPr>
      <w:r>
        <w:rPr>
          <w:rFonts w:ascii="Kalpurush" w:cs="Kalpurush" w:eastAsia="Kalpurush" w:hAnsi="Kalpurush"/>
          <w:i/>
          <w:iCs/>
          <w:sz w:val="20"/>
          <w:szCs w:val="20"/>
        </w:rPr>
        <w:t xml:space="preserve">*(বঙ্গানুবাদ: " পৃথক খতিয়ান পৃথক প্রজাস্বত্ব সৃষ্টি করে; সংলগ্ন সরকারি জমি বা ভিন্ন খতিয়ানের জমি বাদ দিলে আংশিক বাটোয়ারার কোনো দোষ সৃষ্টি হয় না।")*</w:t>
      </w:r>
    </w:p>
    <w:p>
      <w:r>
        <w:rPr>
          <w:rFonts w:ascii="Kalpurush" w:cs="Kalpurush" w:eastAsia="Kalpurush" w:hAnsi="Kalpurush"/>
        </w:rPr>
        <w:t xml:space="preserve"/>
      </w:r>
    </w:p>
    <w:p>
      <w:r>
        <w:rPr>
          <w:rFonts w:ascii="Kalpurush" w:cs="Kalpurush" w:eastAsia="Kalpurush" w:hAnsi="Kalpurush"/>
          <w:sz w:val="20"/>
          <w:szCs w:val="20"/>
        </w:rPr>
        <w:t xml:space="preserve">*২. প্রাইভেট কো-শেয়ারারদের মধ্যে বাটোয়ারা মামলায় সরকার আবশ্যকীয় পক্ষ নহে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w:t>
      </w:r>
    </w:p>
    <w:p>
      <w:pPr>
        <w:ind w:left="720"/>
      </w:pPr>
      <w:r>
        <w:rPr>
          <w:rFonts w:ascii="Kalpurush" w:cs="Kalpurush" w:eastAsia="Kalpurush" w:hAnsi="Kalpurush"/>
          <w:i/>
          <w:iCs/>
          <w:sz w:val="20"/>
          <w:szCs w:val="20"/>
        </w:rPr>
        <w:t xml:space="preserve">*(বঙ্গানুবাদ: "সহ-অংশীদারদের মধ্যে ব্যক্তিগত বাটোয়ারা মামলায় সরকার আবশ্যকীয় পক্ষ নয়, যেখানে রাষ্ট্রের বিরুদ্ধে কোনো প্রতিকার চাওয়া হয়নি।")*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w:t>
      </w:r>
    </w:p>
    <w:p>
      <w:pPr>
        <w:ind w:left="720"/>
      </w:pPr>
      <w:r>
        <w:rPr>
          <w:rFonts w:ascii="Kalpurush" w:cs="Kalpurush" w:eastAsia="Kalpurush" w:hAnsi="Kalpurush"/>
          <w:i/>
          <w:iCs/>
          <w:sz w:val="20"/>
          <w:szCs w:val="20"/>
        </w:rPr>
        <w:t xml:space="preserve">*(বঙ্গানুবাদ: "বাদ পড়া পক্ষ আবশ্যকীয় পক্ষ না হলে কেবল পক্ষদোষের কারণে বাটোয়ারা মামলা খারিজ হতে পারে না।")*</w:t>
      </w:r>
    </w:p>
    <w:p>
      <w:r>
        <w:rPr>
          <w:rFonts w:ascii="Kalpurush" w:cs="Kalpurush" w:eastAsia="Kalpurush" w:hAnsi="Kalpurush"/>
        </w:rPr>
        <w:t xml:space="preserve"/>
      </w:r>
    </w:p>
    <w:p>
      <w:r>
        <w:rPr>
          <w:rFonts w:ascii="Kalpurush" w:cs="Kalpurush" w:eastAsia="Kalpurush" w:hAnsi="Kalpurush"/>
          <w:sz w:val="20"/>
          <w:szCs w:val="20"/>
        </w:rPr>
        <w:t xml:space="preserve">*৩. ১ নং রেসপন্ডেন্ট সোলায়মান হোসেন আব্দুল আলীর বৈধ ওয়ারিশ হিসেবে বাদীপক্ষের সাথে আপোষ বাটোয়ারায় একমত এবং আদালতে সোলেনামা দাখিল করিয়াছেন (CPC Order XXIII Rule 3)।"*</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 ট্রায়াল কোর্টের সিদ্ধান্ত বনাম আপীল ভুলের তুলনামূলক ছক ও সমাপনী প্রার্থনা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সিদ্ধান্ত ও ভুলসমূহকে নিম্নের তুলনামূলক ছকে স্পষ্টভাবে তুলে ধরা হলো:*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যে ভিত্তিতে finding (সিদ্ধান্তের কথিত ভিত্তি)</w:t>
            </w:r>
          </w:p>
        </w:tc>
        <w:tc>
          <w:p>
            <w:r>
              <w:rPr>
                <w:rFonts w:ascii="Kalpurush" w:cs="Kalpurush" w:eastAsia="Kalpurush" w:hAnsi="Kalpurush"/>
                <w:sz w:val="20"/>
                <w:szCs w:val="20"/>
              </w:rPr>
              <w:t xml:space="preserve">মূল ঘাটতি (Evidentiary Gap)</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ছিল root raiyat</w:t>
            </w:r>
          </w:p>
        </w:tc>
        <w:tc>
          <w:p>
            <w:r>
              <w:rPr>
                <w:rFonts w:ascii="Kalpurush" w:cs="Kalpurush" w:eastAsia="Kalpurush" w:hAnsi="Kalpurush"/>
                <w:sz w:val="20"/>
                <w:szCs w:val="20"/>
              </w:rPr>
              <w:t xml:space="preserve">Alleged 1934 settlement</w:t>
            </w:r>
          </w:p>
        </w:tc>
        <w:tc>
          <w:p>
            <w:r>
              <w:rPr>
                <w:rFonts w:ascii="Kalpurush" w:cs="Kalpurush" w:eastAsia="Kalpurush" w:hAnsi="Kalpurush"/>
                <w:sz w:val="20"/>
                <w:szCs w:val="20"/>
              </w:rPr>
              <w:t xml:space="preserve">Primary foundation নেই (পাট্টা/কবুলিয়ত নেই)</w:t>
            </w:r>
          </w:p>
        </w:tc>
        <w:tc>
          <w:p>
            <w:r>
              <w:rPr>
                <w:rFonts w:ascii="Kalpurush" w:cs="Kalpurush" w:eastAsia="Kalpurush" w:hAnsi="Kalpurush"/>
                <w:b/>
                <w:bCs/>
                <w:sz w:val="20"/>
                <w:szCs w:val="20"/>
              </w:rPr>
              <w:t xml:space="preserve">Assumption treated as proof</w:t>
            </w:r>
            <w:r>
              <w:rPr>
                <w:rFonts w:ascii="Kalpurush" w:cs="Kalpurush" w:eastAsia="Kalpurush" w:hAnsi="Kalpurush"/>
                <w:sz w:val="20"/>
                <w:szCs w:val="20"/>
              </w:rPr>
              <w:t xml:space="preserve"> (অনুমানকে প্রমাণ হিসেবে গ্রহণ)</w:t>
            </w:r>
          </w:p>
        </w:tc>
      </w:tr>
      <w:tr>
        <w:tc>
          <w:p>
            <w:r>
              <w:rPr>
                <w:rFonts w:ascii="Kalpurush" w:cs="Kalpurush" w:eastAsia="Kalpurush" w:hAnsi="Kalpurush"/>
                <w:sz w:val="20"/>
                <w:szCs w:val="20"/>
              </w:rPr>
              <w:t xml:space="preserve">২. SA ২৩৮ ভুল</w:t>
            </w:r>
          </w:p>
        </w:tc>
        <w:tc>
          <w:p>
            <w:r>
              <w:rPr>
                <w:rFonts w:ascii="Kalpurush" w:cs="Kalpurush" w:eastAsia="Kalpurush" w:hAnsi="Kalpurush"/>
                <w:sz w:val="20"/>
                <w:szCs w:val="20"/>
              </w:rPr>
              <w:t xml:space="preserve">Alleged correction theory</w:t>
            </w:r>
          </w:p>
        </w:tc>
        <w:tc>
          <w:p>
            <w:r>
              <w:rPr>
                <w:rFonts w:ascii="Kalpurush" w:cs="Kalpurush" w:eastAsia="Kalpurush" w:hAnsi="Kalpurush"/>
                <w:sz w:val="20"/>
                <w:szCs w:val="20"/>
              </w:rPr>
              <w:t xml:space="preserve">Rebutting documentary proof নেই</w:t>
            </w:r>
          </w:p>
        </w:tc>
        <w:tc>
          <w:p>
            <w:r>
              <w:rPr>
                <w:rFonts w:ascii="Kalpurush" w:cs="Kalpurush" w:eastAsia="Kalpurush" w:hAnsi="Kalpurush"/>
                <w:b/>
                <w:bCs/>
                <w:sz w:val="20"/>
                <w:szCs w:val="20"/>
              </w:rPr>
              <w:t xml:space="preserve">Section 144A presumption improperly displaced</w:t>
            </w:r>
            <w:r>
              <w:rPr>
                <w:rFonts w:ascii="Kalpurush" w:cs="Kalpurush" w:eastAsia="Kalpurush" w:hAnsi="Kalpurush"/>
                <w:sz w:val="20"/>
                <w:szCs w:val="20"/>
              </w:rPr>
              <w:t xml:space="preserve"> (সংবিধিবদ্ধ অনুমান বেআইনিভাবে খারিজ)</w:t>
            </w:r>
          </w:p>
        </w:tc>
      </w:tr>
      <w:tr>
        <w:tc>
          <w:p>
            <w:r>
              <w:rPr>
                <w:rFonts w:ascii="Kalpurush" w:cs="Kalpurush" w:eastAsia="Kalpurush" w:hAnsi="Kalpurush"/>
                <w:sz w:val="20"/>
                <w:szCs w:val="20"/>
              </w:rPr>
              <w:t xml:space="preserve">৩. ১৯৬৯ সালের correction কার্যকর</w:t>
            </w:r>
          </w:p>
        </w:tc>
        <w:tc>
          <w:p>
            <w:r>
              <w:rPr>
                <w:rFonts w:ascii="Kalpurush" w:cs="Kalpurush" w:eastAsia="Kalpurush" w:hAnsi="Kalpurush"/>
                <w:sz w:val="20"/>
                <w:szCs w:val="20"/>
              </w:rPr>
              <w:t xml:space="preserve">AC Land volume entry</w:t>
            </w:r>
          </w:p>
        </w:tc>
        <w:tc>
          <w:p>
            <w:r>
              <w:rPr>
                <w:rFonts w:ascii="Kalpurush" w:cs="Kalpurush" w:eastAsia="Kalpurush" w:hAnsi="Kalpurush"/>
                <w:sz w:val="20"/>
                <w:szCs w:val="20"/>
              </w:rPr>
              <w:t xml:space="preserve">Parent order নেই (মূল বিচারিক আদেশ অনুপস্থিত)</w:t>
            </w:r>
          </w:p>
        </w:tc>
        <w:tc>
          <w:p>
            <w:r>
              <w:rPr>
                <w:rFonts w:ascii="Kalpurush" w:cs="Kalpurush" w:eastAsia="Kalpurush" w:hAnsi="Kalpurush"/>
                <w:b/>
                <w:bCs/>
                <w:sz w:val="20"/>
                <w:szCs w:val="20"/>
              </w:rPr>
              <w:t xml:space="preserve">Consequential entry treated as foundational evidence</w:t>
            </w:r>
            <w:r>
              <w:rPr>
                <w:rFonts w:ascii="Kalpurush" w:cs="Kalpurush" w:eastAsia="Kalpurush" w:hAnsi="Kalpurush"/>
                <w:sz w:val="20"/>
                <w:szCs w:val="20"/>
              </w:rPr>
              <w:t xml:space="preserve"> (আনুষঙ্গিক নোটকে মূল ভিত্তি মান্য করা)</w:t>
            </w:r>
          </w:p>
        </w:tc>
      </w:tr>
      <w:tr>
        <w:tc>
          <w:p>
            <w:r>
              <w:rPr>
                <w:rFonts w:ascii="Kalpurush" w:cs="Kalpurush" w:eastAsia="Kalpurush" w:hAnsi="Kalpurush"/>
                <w:sz w:val="20"/>
                <w:szCs w:val="20"/>
              </w:rPr>
              <w:t xml:space="preserve">৪. সোনাভানু interest পেয়েছে</w:t>
            </w:r>
          </w:p>
        </w:tc>
        <w:tc>
          <w:p>
            <w:r>
              <w:rPr>
                <w:rFonts w:ascii="Kalpurush" w:cs="Kalpurush" w:eastAsia="Kalpurush" w:hAnsi="Kalpurush"/>
                <w:sz w:val="20"/>
                <w:szCs w:val="20"/>
              </w:rPr>
              <w:t xml:space="preserve">Alleged correction</w:t>
            </w:r>
          </w:p>
        </w:tc>
        <w:tc>
          <w:p>
            <w:r>
              <w:rPr>
                <w:rFonts w:ascii="Kalpurush" w:cs="Kalpurush" w:eastAsia="Kalpurush" w:hAnsi="Kalpurush"/>
                <w:sz w:val="20"/>
                <w:szCs w:val="20"/>
              </w:rPr>
              <w:t xml:space="preserve">Legal transmission not established</w:t>
            </w:r>
          </w:p>
        </w:tc>
        <w:tc>
          <w:p>
            <w:r>
              <w:rPr>
                <w:rFonts w:ascii="Kalpurush" w:cs="Kalpurush" w:eastAsia="Kalpurush" w:hAnsi="Kalpurush"/>
                <w:b/>
                <w:bCs/>
                <w:sz w:val="20"/>
                <w:szCs w:val="20"/>
              </w:rPr>
              <w:t xml:space="preserve">Derivative title assumed</w:t>
            </w:r>
            <w:r>
              <w:rPr>
                <w:rFonts w:ascii="Kalpurush" w:cs="Kalpurush" w:eastAsia="Kalpurush" w:hAnsi="Kalpurush"/>
                <w:sz w:val="20"/>
                <w:szCs w:val="20"/>
              </w:rPr>
              <w:t xml:space="preserve"> (অপ্রমাণিত স্থানান্তরের ভিত্তিতে স্বত্ব অনুমান)</w:t>
            </w:r>
          </w:p>
        </w:tc>
      </w:tr>
      <w:tr>
        <w:tc>
          <w:p>
            <w:r>
              <w:rPr>
                <w:rFonts w:ascii="Kalpurush" w:cs="Kalpurush" w:eastAsia="Kalpurush" w:hAnsi="Kalpurush"/>
                <w:sz w:val="20"/>
                <w:szCs w:val="20"/>
              </w:rPr>
              <w:t xml:space="preserve">৫. Hotchpot defect</w:t>
            </w:r>
          </w:p>
        </w:tc>
        <w:tc>
          <w:p>
            <w:r>
              <w:rPr>
                <w:rFonts w:ascii="Kalpurush" w:cs="Kalpurush" w:eastAsia="Kalpurush" w:hAnsi="Kalpurush"/>
                <w:sz w:val="20"/>
                <w:szCs w:val="20"/>
              </w:rPr>
              <w:t xml:space="preserve">Same dag number</w:t>
            </w:r>
          </w:p>
        </w:tc>
        <w:tc>
          <w:p>
            <w:r>
              <w:rPr>
                <w:rFonts w:ascii="Kalpurush" w:cs="Kalpurush" w:eastAsia="Kalpurush" w:hAnsi="Kalpurush"/>
                <w:sz w:val="20"/>
                <w:szCs w:val="20"/>
              </w:rPr>
              <w:t xml:space="preserve">Separate khatian/interest (পৃথক খতিয়ান)</w:t>
            </w:r>
          </w:p>
        </w:tc>
        <w:tc>
          <w:p>
            <w:r>
              <w:rPr>
                <w:rFonts w:ascii="Kalpurush" w:cs="Kalpurush" w:eastAsia="Kalpurush" w:hAnsi="Kalpurush"/>
                <w:b/>
                <w:bCs/>
                <w:sz w:val="20"/>
                <w:szCs w:val="20"/>
              </w:rPr>
              <w:t xml:space="preserve">Technical objection overstated</w:t>
            </w:r>
            <w:r>
              <w:rPr>
                <w:rFonts w:ascii="Kalpurush" w:cs="Kalpurush" w:eastAsia="Kalpurush" w:hAnsi="Kalpurush"/>
                <w:sz w:val="20"/>
                <w:szCs w:val="20"/>
              </w:rPr>
              <w:t xml:space="preserve"> (পদ্ধতিগত বিষয়কে অতিরঞ্জিত করে মামলা খারিজ)</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নিবেদন (Final Submission)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আমাদের সমাপনী বক্তব্য খুব সীমিত এবং সুনির্দিষ্ট:*</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pPr>
        <w:ind w:left="720"/>
      </w:pPr>
      <w:r>
        <w:rPr>
          <w:rFonts w:ascii="Kalpurush" w:cs="Kalpurush" w:eastAsia="Kalpurush" w:hAnsi="Kalpurush"/>
          <w:i/>
          <w:iCs/>
          <w:sz w:val="20"/>
          <w:szCs w:val="20"/>
        </w:rPr>
        <w:t xml:space="preserve">*(বঙ্গানুবাদ: "আমরা আদালতকে চূড়ান্তভাবে প্রকাশিত এসএ রেকর্ড কখনো ভুল হতে পারে না—এমন সিদ্ধান্ত দিতে বলছি না। আমরা আদালতকে বিনীতভাবে বলছি যে পক্ষ ওই রেকর্ডকে চ্যালেঞ্জ করছে, তাদের কাছে প্রমাণ চাইতে যে কীভাবে, কখন এবং কোন বৈধ দলিলের মাধ্যমে সেই রেকর্ড অপসারিত হয়েছিল।")*</w:t>
      </w:r>
    </w:p>
    <w:p>
      <w:r>
        <w:rPr>
          <w:rFonts w:ascii="Kalpurush" w:cs="Kalpurush" w:eastAsia="Kalpurush" w:hAnsi="Kalpurush"/>
        </w:rPr>
        <w:t xml:space="preserve"/>
      </w:r>
    </w:p>
    <w:p>
      <w:r>
        <w:rPr>
          <w:rFonts w:ascii="Kalpurush" w:cs="Kalpurush" w:eastAsia="Kalpurush" w:hAnsi="Kalpurush"/>
          <w:sz w:val="20"/>
          <w:szCs w:val="20"/>
        </w:rPr>
        <w:t xml:space="preserve">*বিবাদীপক্ষ সেই প্রমাণ দিতে সম্পূর্ণ ব্যর্থ হইয়াছে। অতএব বিজ্ঞ বিচারিক আদালতের ০৫-০৪-২০২৬ তারিখের খারিজ রায় আইনত টিকিয়া থাকিতে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সখিপুর সিভিল জজ আদালতের ০৫/০৪/২০২৬ তারিখের Judgment এবং ০৯/০৪/২০২৬ তারিখের Decree বাতিল ও রহিত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SA ২৩৮ নং খতিয়ানের ভিত্তিতে আপীল্যান্ট বাদীপক্ষ এবং ১নং রেসপন্ডেন্টের সোলেনামার অনুকূলে নালিশী সম্পত্তিতে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বিকল্পে, একজন বিজ্ঞ Advocate Commissioner নিয়োগ করিয়া সরকারের খাস জমিতে কোনো হস্তক্ষেপ না করিয়া কেবল SA ২৩৮-ভুক্ত সম্পত্তিতে বাদীদের অংশ সরেজমিনে নির্ধারণ ও বণ্টনের ব্যবস্থা করা হউক; এবং</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সার্বিক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2026-08-15T07:30:55.749Z</dcterms:created>
  <dcterms:modified xsi:type="dcterms:W3CDTF">2026-08-15T07:30:55.749Z</dcterms:modified>
</cp:coreProperties>
</file>

<file path=docProps/custom.xml><?xml version="1.0" encoding="utf-8"?>
<Properties xmlns="http://schemas.openxmlformats.org/officeDocument/2006/custom-properties" xmlns:vt="http://schemas.openxmlformats.org/officeDocument/2006/docPropsVTypes"/>
</file>