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79 — Court-Ready Oral Hearing Aid &amp; Summary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Recognition):</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আমাদের প্রমাণের কেন্দ্রবিন্দু হলো রাষ্ট্রের Estate Acquisition-পরবর্তী State Recognition এবং finally published SA Record। CS ২ নং খতিয়ানে নালিশী জমি কোনো ব্যক্তিগত রায়তি নামে রেকর্ডভুক্ত ছিল না; জমিটি নবাব এস্টেটের খাস হিসেবে প্রতিফলিত। রাষ্ট্র ১৯৫২ সালে জমিদারী অধিগ্রহণ করিয়া নিজস্ব জরিপ কার্যক্রমে আব্দুল আলীকে একক রায়ত হিসেবে রেকর্ড করিয়াছে এবং জেলা প্রশাসকের সেন্ট্রাল রেকর্ড রুমে আজও সেই সরকারি মূল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volume entry দেখাইয়াছে — কিন্তু যে আদেশের ভিত্তিতে entry-টি allegedly তৈরি, সেই আদেশ কোথায়? কথিত ১১৮১/১৯৬৯ Misc Case-এর existence, contents, jurisdiction, legal effect এবং implementation (Register of Alterations) — এই পাঁচটির কোনো প্রাতিষ্ঠানিক প্রমাণ রেকর্ডে নাই। বিবাদীরা মূল রেকর্ডও তলব করান নাই। মূল আদেশ (Parent Order) অপ্রমাণিত থাকিলে সহকারী কমিশনার (ভূমি) অফিসের একটি ভলিউম নোট নিজে থেকে স্বত্ব প্রমাণ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অখণ্ডনীয়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অধীনস্থ ভলিউম নোটকে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আদালতের সামনে প্রারম্ভিক কেন্দ্রীয় প্রশ্ন (The Central Question)</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pPr>
        <w:ind w:left="720"/>
      </w:pPr>
    </w:p>
    <w:p>
      <w:pPr>
        <w:ind w:left="720"/>
      </w:pPr>
      <w:r>
        <w:rPr>
          <w:rFonts w:ascii="Kalpurush" w:cs="Kalpurush" w:eastAsia="Kalpurush" w:hAnsi="Kalpurush"/>
          <w:b/>
          <w:bCs/>
          <w:i/>
          <w:iCs/>
          <w:sz w:val="20"/>
          <w:szCs w:val="20"/>
        </w:rPr>
        <w:t xml:space="preserve">আমাদের বিনীত উত্তর — "প্রয়োজনীয় primary and reliable documentary evidence সেখানে অনুপস্থিত।"</w:t>
      </w:r>
    </w:p>
    <w:p>
      <w:pPr>
        <w:ind w:left="720"/>
      </w:pP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pPr>
        <w:ind w:left="720"/>
      </w:pPr>
      <w:r>
        <w:rPr>
          <w:rFonts w:ascii="Kalpurush" w:cs="Kalpurush" w:eastAsia="Kalpurush" w:hAnsi="Kalpurush"/>
          <w:i/>
          <w:iCs/>
          <w:sz w:val="20"/>
          <w:szCs w:val="20"/>
        </w:rPr>
        <w:t xml:space="preserve">*(বঙ্গানুবাদ: "আমরা আদালতকে চূড়ান্তভাবে প্রকাশিত এসএ রেকর্ড কখনো ভুল হতে পারে না—এমন সিদ্ধান্ত দিতে বলছি না। আমরা আদালতকে বিনীতভাবে বলছি যে পক্ষ ওই রেকর্ডকে চ্যালেঞ্জ করছে, তাদের কাছে প্রমাণ চাইতে যে কীভাবে, কখন এবং কোন বৈধ দলিলের মাধ্যমে সেই রেকর্ড অপসারিত হয়েছিল।")*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আপীলের কেন্দ্রীয় প্রমাণের ধারাবাহিকতা (The 6-Step Burden Sequence)</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প্রথম প্রশ্ন — আব্দুল করিম কি প্রতিষ্ঠিত রায়ত ছিলেন?</w:t>
      </w:r>
    </w:p>
    <w:p>
      <w:r>
        <w:rPr>
          <w:rFonts w:ascii="Kalpurush" w:cs="Kalpurush" w:eastAsia="Kalpurush" w:hAnsi="Kalpurush"/>
          <w:sz w:val="20"/>
          <w:szCs w:val="20"/>
        </w:rPr>
        <w:t xml:space="preserve">   CS ২ খতিয়ানে private raiyat নেই; কথিত ১৯৩৪ পত্তনের primary document অনুপস্থিত।</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দ্বিতীয় প্রশ্ন — রাষ্ট্র SA জরিপে কাকে রেকর্ড করল?</w:t>
      </w:r>
    </w:p>
    <w:p>
      <w:r>
        <w:rPr>
          <w:rFonts w:ascii="Kalpurush" w:cs="Kalpurush" w:eastAsia="Kalpurush" w:hAnsi="Kalpurush"/>
          <w:sz w:val="20"/>
          <w:szCs w:val="20"/>
        </w:rPr>
        <w:t xml:space="preserve">   SA ২৩৮ — আব্দুল আলী, ১৬ আনা। ধারা ১৪৪A অনুযায়ী entry সংবিধিবদ্ধ presumption বহন করে।</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তৃতীয় প্রশ্ন — আব্দুল আলীর রেকর্ড ভুল — এই দাবি কে করছে?</w:t>
      </w:r>
    </w:p>
    <w:p>
      <w:r>
        <w:rPr>
          <w:rFonts w:ascii="Kalpurush" w:cs="Kalpurush" w:eastAsia="Kalpurush" w:hAnsi="Kalpurush"/>
          <w:sz w:val="20"/>
          <w:szCs w:val="20"/>
        </w:rPr>
        <w:t xml:space="preserve">   বিবাদীপক্ষ। অতএব কী ভুল, কেন ভুল, কোন আদেশে সংশোধন — তাহা প্রমাণের ভার বিবাদীদের।</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চতুর্থ প্রশ্ন — কথিত সংশোধনের আইনি উৎস (Legal Source) কোথায়?</w:t>
      </w:r>
    </w:p>
    <w:p>
      <w:r>
        <w:rPr>
          <w:rFonts w:ascii="Kalpurush" w:cs="Kalpurush" w:eastAsia="Kalpurush" w:hAnsi="Kalpurush"/>
          <w:sz w:val="20"/>
          <w:szCs w:val="20"/>
        </w:rPr>
        <w:t xml:space="preserve">   ১৯৬৯ সালের Misc Case-এর কোনো Parent Order, Judgment বা Record নেই।</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পঞ্চম প্রশ্ন — AC Land ভলিউম নোটের উৎস কী?</w:t>
      </w:r>
    </w:p>
    <w:p>
      <w:r>
        <w:rPr>
          <w:rFonts w:ascii="Kalpurush" w:cs="Kalpurush" w:eastAsia="Kalpurush" w:hAnsi="Kalpurush"/>
          <w:sz w:val="20"/>
          <w:szCs w:val="20"/>
        </w:rPr>
        <w:t xml:space="preserve">   DW-4 এন্ট্রির provenance প্রমাণ করতে পারেননি; মূল জেলা রেকর্ড রুম অপরিবর্তিত।</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ষষ্ঠ প্রশ্ন — বিবাদীদের নিজেদের পরবর্তী দালিলিক আচরণ কী বলে?</w:t>
      </w:r>
    </w:p>
    <w:p>
      <w:r>
        <w:rPr>
          <w:rFonts w:ascii="Kalpurush" w:cs="Kalpurush" w:eastAsia="Kalpurush" w:hAnsi="Kalpurush"/>
          <w:sz w:val="20"/>
          <w:szCs w:val="20"/>
        </w:rPr>
        <w:t xml:space="preserve">   ১৯৭৫ সালের Deed No. 3596-এ SA ২৩৮-এর অধীনে ৬টি দাগের বর্ণনা — যা তাদের ১-দাগের সংশোধন তত্ত্বের সাথে সরাসরি সাংঘর্ষিক।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State Record and Its Documentary Corroboration</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আইনি তাৎপর্য</w:t>
            </w:r>
          </w:p>
        </w:tc>
        <w:tc>
          <w:p>
            <w:r>
              <w:rPr>
                <w:rFonts w:ascii="Kalpurush" w:cs="Kalpurush" w:eastAsia="Kalpurush" w:hAnsi="Kalpurush"/>
                <w:sz w:val="20"/>
                <w:szCs w:val="20"/>
              </w:rPr>
              <w:t xml:space="preserve">আদালতে উপস্থাপিত অবস্থান</w:t>
            </w:r>
          </w:p>
        </w:tc>
      </w:tr>
      <w:tr>
        <w:tc>
          <w:p>
            <w:r>
              <w:rPr>
                <w:rFonts w:ascii="Kalpurush" w:cs="Kalpurush" w:eastAsia="Kalpurush" w:hAnsi="Kalpurush"/>
                <w:b/>
                <w:bCs/>
                <w:sz w:val="20"/>
                <w:szCs w:val="20"/>
              </w:rPr>
              <w:t xml:space="preserve">১. State Record:</w:t>
            </w:r>
            <w:r>
              <w:rPr>
                <w:rFonts w:ascii="Kalpurush" w:cs="Kalpurush" w:eastAsia="Kalpurush" w:hAnsi="Kalpurush"/>
                <w:sz w:val="20"/>
                <w:szCs w:val="20"/>
              </w:rPr>
              <w:t xml:space="preserve"> SA ২৩৮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চূড়ান্ত প্রকাশিত সংবিধিবদ্ধ রেকর্ড; জেলা রেকর্ড রুমে আজও অপরিবর্তিত</w:t>
            </w:r>
          </w:p>
        </w:tc>
      </w:tr>
      <w:tr>
        <w:tc>
          <w:p>
            <w:r>
              <w:rPr>
                <w:rFonts w:ascii="Kalpurush" w:cs="Kalpurush" w:eastAsia="Kalpurush" w:hAnsi="Kalpurush"/>
                <w:b/>
                <w:bCs/>
                <w:sz w:val="20"/>
                <w:szCs w:val="20"/>
              </w:rPr>
              <w:t xml:space="preserve">২. Contemporaneous Deed:</w:t>
            </w:r>
            <w:r>
              <w:rPr>
                <w:rFonts w:ascii="Kalpurush" w:cs="Kalpurush" w:eastAsia="Kalpurush" w:hAnsi="Kalpurush"/>
                <w:sz w:val="20"/>
                <w:szCs w:val="20"/>
              </w:rPr>
              <w:t xml:space="preserve"> ১৯৫৭ সালের দলিল ২৩৯৮ (প্রদর্শনী-২)</w:t>
            </w:r>
          </w:p>
        </w:tc>
        <w:tc>
          <w:p>
            <w:r>
              <w:rPr>
                <w:rFonts w:ascii="Kalpurush" w:cs="Kalpurush" w:eastAsia="Kalpurush" w:hAnsi="Kalpurush"/>
                <w:sz w:val="20"/>
                <w:szCs w:val="20"/>
              </w:rPr>
              <w:t xml:space="preserve">সমসাময়িক প্রকাশ্য নিবন্ধিত সম্পত্তিগত সম্পর্ক</w:t>
            </w:r>
          </w:p>
        </w:tc>
        <w:tc>
          <w:p>
            <w:r>
              <w:rPr>
                <w:rFonts w:ascii="Kalpurush" w:cs="Kalpurush" w:eastAsia="Kalpurush" w:hAnsi="Kalpurush"/>
                <w:sz w:val="20"/>
                <w:szCs w:val="20"/>
              </w:rPr>
              <w:t xml:space="preserve">SA জরিপকালীন সমসাময়িক দলিল; ৩ নং দাগ SA ২৩৮-এর অন্তর্ভুক্ত জমিরই অংশ</w:t>
            </w:r>
          </w:p>
        </w:tc>
      </w:tr>
      <w:tr>
        <w:tc>
          <w:p>
            <w:r>
              <w:rPr>
                <w:rFonts w:ascii="Kalpurush" w:cs="Kalpurush" w:eastAsia="Kalpurush" w:hAnsi="Kalpurush"/>
                <w:b/>
                <w:bCs/>
                <w:sz w:val="20"/>
                <w:szCs w:val="20"/>
              </w:rPr>
              <w:t xml:space="preserve">৩. Institutional Continuity:</w:t>
            </w:r>
            <w:r>
              <w:rPr>
                <w:rFonts w:ascii="Kalpurush" w:cs="Kalpurush" w:eastAsia="Kalpurush" w:hAnsi="Kalpurush"/>
                <w:sz w:val="20"/>
                <w:szCs w:val="20"/>
              </w:rPr>
              <w:t xml:space="preserve"> District Record Room</w:t>
            </w:r>
          </w:p>
        </w:tc>
        <w:tc>
          <w:p>
            <w:r>
              <w:rPr>
                <w:rFonts w:ascii="Kalpurush" w:cs="Kalpurush" w:eastAsia="Kalpurush" w:hAnsi="Kalpurush"/>
                <w:sz w:val="20"/>
                <w:szCs w:val="20"/>
              </w:rPr>
              <w:t xml:space="preserve">৫০ বছরের অবিচ্ছিন্ন ধারাবাহিকতা</w:t>
            </w:r>
          </w:p>
        </w:tc>
        <w:tc>
          <w:p>
            <w:r>
              <w:rPr>
                <w:rFonts w:ascii="Kalpurush" w:cs="Kalpurush" w:eastAsia="Kalpurush" w:hAnsi="Kalpurush"/>
                <w:sz w:val="20"/>
                <w:szCs w:val="20"/>
              </w:rPr>
              <w:t xml:space="preserve">কোনো Alteration Entry নাই; মূল সরকারি রেকর্ড অক্ষত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যে ভিত্তিতে finding (সিদ্ধান্তের কথিত ভিত্তি)</w:t>
            </w:r>
          </w:p>
        </w:tc>
        <w:tc>
          <w:p>
            <w:r>
              <w:rPr>
                <w:rFonts w:ascii="Kalpurush" w:cs="Kalpurush" w:eastAsia="Kalpurush" w:hAnsi="Kalpurush"/>
                <w:sz w:val="20"/>
                <w:szCs w:val="20"/>
              </w:rPr>
              <w:t xml:space="preserve">মূল ঘাটতি (Evidentiary Gap)</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ছিল root raiyat</w:t>
            </w:r>
          </w:p>
        </w:tc>
        <w:tc>
          <w:p>
            <w:r>
              <w:rPr>
                <w:rFonts w:ascii="Kalpurush" w:cs="Kalpurush" w:eastAsia="Kalpurush" w:hAnsi="Kalpurush"/>
                <w:sz w:val="20"/>
                <w:szCs w:val="20"/>
              </w:rPr>
              <w:t xml:space="preserve">Alleged 1934 settlement</w:t>
            </w:r>
          </w:p>
        </w:tc>
        <w:tc>
          <w:p>
            <w:r>
              <w:rPr>
                <w:rFonts w:ascii="Kalpurush" w:cs="Kalpurush" w:eastAsia="Kalpurush" w:hAnsi="Kalpurush"/>
                <w:sz w:val="20"/>
                <w:szCs w:val="20"/>
              </w:rPr>
              <w:t xml:space="preserve">Primary foundation নেই (পাট্টা/কবুলিয়ত নেই)</w:t>
            </w:r>
          </w:p>
        </w:tc>
        <w:tc>
          <w:p>
            <w:r>
              <w:rPr>
                <w:rFonts w:ascii="Kalpurush" w:cs="Kalpurush" w:eastAsia="Kalpurush" w:hAnsi="Kalpurush"/>
                <w:b/>
                <w:bCs/>
                <w:sz w:val="20"/>
                <w:szCs w:val="20"/>
              </w:rPr>
              <w:t xml:space="preserve">Assumption treated as proof</w:t>
            </w:r>
            <w:r>
              <w:rPr>
                <w:rFonts w:ascii="Kalpurush" w:cs="Kalpurush" w:eastAsia="Kalpurush" w:hAnsi="Kalpurush"/>
                <w:sz w:val="20"/>
                <w:szCs w:val="20"/>
              </w:rPr>
              <w:t xml:space="preserve"> (অনুমানকে প্রমাণ হিসেবে গ্রহণ)</w:t>
            </w:r>
          </w:p>
        </w:tc>
      </w:tr>
      <w:tr>
        <w:tc>
          <w:p>
            <w:r>
              <w:rPr>
                <w:rFonts w:ascii="Kalpurush" w:cs="Kalpurush" w:eastAsia="Kalpurush" w:hAnsi="Kalpurush"/>
                <w:sz w:val="20"/>
                <w:szCs w:val="20"/>
              </w:rPr>
              <w:t xml:space="preserve">২. SA ২৩৮ ভুল</w:t>
            </w:r>
          </w:p>
        </w:tc>
        <w:tc>
          <w:p>
            <w:r>
              <w:rPr>
                <w:rFonts w:ascii="Kalpurush" w:cs="Kalpurush" w:eastAsia="Kalpurush" w:hAnsi="Kalpurush"/>
                <w:sz w:val="20"/>
                <w:szCs w:val="20"/>
              </w:rPr>
              <w:t xml:space="preserve">Alleged correction theory</w:t>
            </w:r>
          </w:p>
        </w:tc>
        <w:tc>
          <w:p>
            <w:r>
              <w:rPr>
                <w:rFonts w:ascii="Kalpurush" w:cs="Kalpurush" w:eastAsia="Kalpurush" w:hAnsi="Kalpurush"/>
                <w:sz w:val="20"/>
                <w:szCs w:val="20"/>
              </w:rPr>
              <w:t xml:space="preserve">Rebutting documentary proof নেই</w:t>
            </w:r>
          </w:p>
        </w:tc>
        <w:tc>
          <w:p>
            <w:r>
              <w:rPr>
                <w:rFonts w:ascii="Kalpurush" w:cs="Kalpurush" w:eastAsia="Kalpurush" w:hAnsi="Kalpurush"/>
                <w:b/>
                <w:bCs/>
                <w:sz w:val="20"/>
                <w:szCs w:val="20"/>
              </w:rPr>
              <w:t xml:space="preserve">Section 144A presumption improperly displaced</w:t>
            </w:r>
            <w:r>
              <w:rPr>
                <w:rFonts w:ascii="Kalpurush" w:cs="Kalpurush" w:eastAsia="Kalpurush" w:hAnsi="Kalpurush"/>
                <w:sz w:val="20"/>
                <w:szCs w:val="20"/>
              </w:rPr>
              <w:t xml:space="preserve"> (সংবিধিবদ্ধ অনুমান বেআইনিভাবে খারিজ)</w:t>
            </w:r>
          </w:p>
        </w:tc>
      </w:tr>
      <w:tr>
        <w:tc>
          <w:p>
            <w:r>
              <w:rPr>
                <w:rFonts w:ascii="Kalpurush" w:cs="Kalpurush" w:eastAsia="Kalpurush" w:hAnsi="Kalpurush"/>
                <w:sz w:val="20"/>
                <w:szCs w:val="20"/>
              </w:rPr>
              <w:t xml:space="preserve">৩. ১৯৬৯ সালের correction কার্যকর</w:t>
            </w:r>
          </w:p>
        </w:tc>
        <w:tc>
          <w:p>
            <w:r>
              <w:rPr>
                <w:rFonts w:ascii="Kalpurush" w:cs="Kalpurush" w:eastAsia="Kalpurush" w:hAnsi="Kalpurush"/>
                <w:sz w:val="20"/>
                <w:szCs w:val="20"/>
              </w:rPr>
              <w:t xml:space="preserve">AC Land volume entry</w:t>
            </w:r>
          </w:p>
        </w:tc>
        <w:tc>
          <w:p>
            <w:r>
              <w:rPr>
                <w:rFonts w:ascii="Kalpurush" w:cs="Kalpurush" w:eastAsia="Kalpurush" w:hAnsi="Kalpurush"/>
                <w:sz w:val="20"/>
                <w:szCs w:val="20"/>
              </w:rPr>
              <w:t xml:space="preserve">Parent order নেই (মূল বিচারিক আদেশ অনুপস্থিত)</w:t>
            </w:r>
          </w:p>
        </w:tc>
        <w:tc>
          <w:p>
            <w:r>
              <w:rPr>
                <w:rFonts w:ascii="Kalpurush" w:cs="Kalpurush" w:eastAsia="Kalpurush" w:hAnsi="Kalpurush"/>
                <w:b/>
                <w:bCs/>
                <w:sz w:val="20"/>
                <w:szCs w:val="20"/>
              </w:rPr>
              <w:t xml:space="preserve">Consequential entry treated as foundational evidence</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৪. সোনাভানু interest পেয়েছে</w:t>
            </w:r>
          </w:p>
        </w:tc>
        <w:tc>
          <w:p>
            <w:r>
              <w:rPr>
                <w:rFonts w:ascii="Kalpurush" w:cs="Kalpurush" w:eastAsia="Kalpurush" w:hAnsi="Kalpurush"/>
                <w:sz w:val="20"/>
                <w:szCs w:val="20"/>
              </w:rPr>
              <w:t xml:space="preserve">Alleged correction</w:t>
            </w:r>
          </w:p>
        </w:tc>
        <w:tc>
          <w:p>
            <w:r>
              <w:rPr>
                <w:rFonts w:ascii="Kalpurush" w:cs="Kalpurush" w:eastAsia="Kalpurush" w:hAnsi="Kalpurush"/>
                <w:sz w:val="20"/>
                <w:szCs w:val="20"/>
              </w:rPr>
              <w:t xml:space="preserve">Legal transmission not established</w:t>
            </w:r>
          </w:p>
        </w:tc>
        <w:tc>
          <w:p>
            <w:r>
              <w:rPr>
                <w:rFonts w:ascii="Kalpurush" w:cs="Kalpurush" w:eastAsia="Kalpurush" w:hAnsi="Kalpurush"/>
                <w:b/>
                <w:bCs/>
                <w:sz w:val="20"/>
                <w:szCs w:val="20"/>
              </w:rPr>
              <w:t xml:space="preserve">Derivative title assumed</w:t>
            </w:r>
            <w:r>
              <w:rPr>
                <w:rFonts w:ascii="Kalpurush" w:cs="Kalpurush" w:eastAsia="Kalpurush" w:hAnsi="Kalpurush"/>
                <w:sz w:val="20"/>
                <w:szCs w:val="20"/>
              </w:rPr>
              <w:t xml:space="preserve"> (অপ্রমাণিত স্থানান্তরের ভিত্তিতে স্বত্ব অনুমান)</w:t>
            </w:r>
          </w:p>
        </w:tc>
      </w:tr>
      <w:tr>
        <w:tc>
          <w:p>
            <w:r>
              <w:rPr>
                <w:rFonts w:ascii="Kalpurush" w:cs="Kalpurush" w:eastAsia="Kalpurush" w:hAnsi="Kalpurush"/>
                <w:sz w:val="20"/>
                <w:szCs w:val="20"/>
              </w:rPr>
              <w:t xml:space="preserve">৫. Hotchpot defect</w:t>
            </w:r>
          </w:p>
        </w:tc>
        <w:tc>
          <w:p>
            <w:r>
              <w:rPr>
                <w:rFonts w:ascii="Kalpurush" w:cs="Kalpurush" w:eastAsia="Kalpurush" w:hAnsi="Kalpurush"/>
                <w:sz w:val="20"/>
                <w:szCs w:val="20"/>
              </w:rPr>
              <w:t xml:space="preserve">Same dag number</w:t>
            </w:r>
          </w:p>
        </w:tc>
        <w:tc>
          <w:p>
            <w:r>
              <w:rPr>
                <w:rFonts w:ascii="Kalpurush" w:cs="Kalpurush" w:eastAsia="Kalpurush" w:hAnsi="Kalpurush"/>
                <w:sz w:val="20"/>
                <w:szCs w:val="20"/>
              </w:rPr>
              <w:t xml:space="preserve">Separate khatian/interest (পৃথক খতিয়ান)</w:t>
            </w:r>
          </w:p>
        </w:tc>
        <w:tc>
          <w:p>
            <w:r>
              <w:rPr>
                <w:rFonts w:ascii="Kalpurush" w:cs="Kalpurush" w:eastAsia="Kalpurush" w:hAnsi="Kalpurush"/>
                <w:b/>
                <w:bCs/>
                <w:sz w:val="20"/>
                <w:szCs w:val="20"/>
              </w:rPr>
              <w:t xml:space="preserve">Technical objection overstated</w:t>
            </w:r>
            <w:r>
              <w:rPr>
                <w:rFonts w:ascii="Kalpurush" w:cs="Kalpurush" w:eastAsia="Kalpurush" w:hAnsi="Kalpurush"/>
                <w:sz w:val="20"/>
                <w:szCs w:val="20"/>
              </w:rPr>
              <w:t xml:space="preserve"> (পদ্ধতিগত বিষয়কে অতিরঞ্জিত করে মামলা খারিজ)</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আর্গুমেন্টে পাঠযোগ্য প্রধান নজিরের সুনির্দিষ্ট উদ্ধৃতি ও বঙ্গানুবাদ (Verbatim Authority Quotes)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আদালতের সামনে সরাসরি পাঠযোগ্য উদ্ধৃতি ও বঙ্গানুবাদ</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 and revised under section 144A of the S.A.T. Act has a presumption of correctness and that presumption continues till it is rebutted by reliable evidence."*&lt;br&gt;*(বঙ্গানুবাদ: এস.এ.টি. আইনের ১৪৪A ধারার অধীনে চূড়ান্ত প্রকাশিত খতিয়ানের পেছনে সংবিধিবদ্ধ নির্ভুলতার অনুমান বিদ্যমান এবং নির্ভরযোগ্য প্রমাণ দ্বারা খণ্ডন না হওয়া পর্যন্ত তা অব্যাহত থাকে।)*</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 prepared under the SAT Act carry a statutory presumption of correctness which must be rebutted by positive and reliable evidence by the challenger."*&lt;br&gt;*(বঙ্গানুবাদ: এসএটি আইনের অধীনে প্রস্তুতকৃত খতিয়ান সংবিধিবদ্ধ অনুমান বহন করে, যা চ্যালেঞ্জকারীকে ইতিবাচক ও নির্ভরযোগ্য সাক্ষ্য দ্বারা খণ্ডন করতে হবে।)*</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party."*&lt;br&gt;*(বঙ্গানুবাদ: খতিয়ানের ভুল প্রমাণের সম্পূর্ণ দায়ভার চ্যালেঞ্জকারী পক্ষের ওপর বর্তায়।)*</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*"A trial court errs in law when it requires the plaintiff to disprove every counter-assertion instead of holding the challenger to their onus."*&lt;br&gt;*(বঙ্গানুবাদ: চ্যালেঞ্জকারীকে তার প্রমাণের দায়িত্বে আবদ্ধ না রেখে বাদীর ওপর প্রতিটি বিপরীত দাবি মিথ্যা প্রমাণের বোঝা চাপানো আইনে মারাত্মক ভুল।)*</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*"A volume note or mutation entry carries no statutory presumption of correctness without the underlying parent order."*&lt;br&gt;*(বঙ্গানুবাদ: মূল আদেশ ব্যতীত ভলিউম নোট বা নামজারি এন্ট্রির কোনো সংবিধিবদ্ধ নির্ভুলতার অনুমান থাকে না।)*</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*"SA Khatian changes made in separate ink or handwriting without a parent judicial order sheet are invalid and legally ineffective."*&lt;br&gt;*(বঙ্গানুবাদ: মূল বিচারিক আদেশনামা ছাড়া ভিন্ন কালিতে বা হস্তাক্ষরে এসএ খতিয়ানে কৃত পরিবর্তন অবৈধ এবং আইনত অকার্যকর।)*</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suit."*&lt;br&gt;*(বঙ্গানুবাদ: মিস মোকদ্দমার সংক্ষিপ্ত প্রক্রিয়ায় স্বত্বের প্রশ্ন নিষ্পত্তি করা যায় না। স্বত্ব ঘোষণার জন্য দেওয়ানি মামলা আবশ্যক।)*</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*"Settlement or rent receipts of Court of Wards / Dhaka Nawab Estate without the written approval of the Chief Manager are void ab initio and confer no title."*&lt;br&gt;*(বঙ্গানুবাদ: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*"Irrespective of whatever title or right was acquired by virtue of the unregistered patta, it had extinguished as a result of State Acquisition under Section 86 of the SAT Act."*&lt;br&gt;*(বঙ্গানুবাদ: অনিবন্ধিত পাট্টার মাধ্যমে যে স্বত্বই অর্জিত হোক না কেন, এস.এ.টি. আইনের ৮৬ ধারার অধীনে রাষ্ট্রীয় অধিগ্রহণের ফলে তা বিলুপ্ত হয়ে গেছে।)*</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*"An administrative ROR entry or procured mutation note cannot override an established title or statutory presumption attached to a finally published record."*&lt;br&gt;*(বঙ্গানুবাদ: প্রশাসনিক খতিয়ান এন্ট্রি বা সংগৃহীত নামজারি নোট কোনো প্রতিষ্ঠিত স্বত্ব বা চূড়ান্ত প্রকাশিত রেকর্ডের সংবিধিবদ্ধ অনুমানকে বাতিল করতে পারে না।)*</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State."*&lt;br&gt;*(বঙ্গানুবাদ: সহ-অংশীদারদের মধ্যে ব্যক্তিগত বাটোয়ারা মামলায় সরকার আবশ্যকীয় পক্ষ নয়, যেখানে রাষ্ট্রের বিরুদ্ধে কোনো প্রতিকার চাওয়া হয়নি।)*</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 or land under different tenancies."*&lt;br&gt;*(বঙ্গানুবাদ: পৃথক খতিয়ান পৃথক প্রজাস্বত্ব সৃষ্টি করে; সংলগ্ন সরকারি জমি বা ভিন্ন খতিয়ানের জমি বাদ দিলে আংশিক বাটোয়ারার কোনো দোষ সৃষ্টি হয়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প্রাতিষ্ঠানিক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দুই বোন (বেলুয়া ও কমলা)-র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 যদি দাবি করেন যে সেই State Recognition ভুল ছিল, তবে তাঁদের সেই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নোটের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Q4: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Q5: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Q6: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অখণ্ডনীয় দালিলিক স্ববিরোধিতা।"*</w:t>
      </w:r>
    </w:p>
    <w:p>
      <w:r>
        <w:rPr>
          <w:rFonts w:ascii="Kalpurush" w:cs="Kalpurush" w:eastAsia="Kalpurush" w:hAnsi="Kalpurush"/>
        </w:rPr>
        <w:t xml:space="preserve"/>
      </w:r>
    </w:p>
    <w:p>
      <w:r>
        <w:rPr>
          <w:rFonts w:ascii="Kalpurush" w:cs="Kalpurush" w:eastAsia="Kalpurush" w:hAnsi="Kalpurush"/>
          <w:b/>
          <w:bCs/>
          <w:sz w:val="20"/>
          <w:szCs w:val="20"/>
        </w:rPr>
        <w:t xml:space="preserve">Q7: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Q8: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Q9: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মূল প্রজার নাম বলেন 'আব্দুল আলীম' এবং তিনি লেখককে চিহ্নিত করতে পারেননি বা মূল ফাইল দেখাতে পারেননি।"*</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প্রার্থনা (Closing Spoken Prayer)</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আমাদের বিনীত বক্তব্য খুব সীমিত এবং সুনির্দিষ্ট: </w:t>
      </w: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r>
        <w:rPr>
          <w:rFonts w:ascii="Kalpurush" w:cs="Kalpurush" w:eastAsia="Kalpurush" w:hAnsi="Kalpurush"/>
          <w:i/>
          <w:iCs/>
          <w:sz w:val="20"/>
          <w:szCs w:val="20"/>
        </w:rPr>
        <w:t xml:space="preserve"> (বঙ্গানুবাদ: আমরা আদালতকে চূড়ান্তভাবে প্রকাশিত এসএ রেকর্ড কখনো ভুল হতে পারে না—এমন সিদ্ধান্ত দিতে বলছি না। আমরা আদালতকে বিনীতভাবে বলছি যে পক্ষ ওই রেকর্ডকে চ্যালেঞ্জ করছে, তাদের কাছে প্রমাণ চাইতে যে কীভাবে, কখন এবং কোন বৈধ দলিলের মাধ্যমে সেই রেকর্ড অপসারিত হয়েছিল।) বিবাদীপক্ষ সেই প্রমাণ দিতে সম্পূর্ণ ব্যর্থ হইয়াছে। অতএব সখিপুর সিভিল জজ আদালতের ০৫/০৪/২০২৬ তারিখের খারিজ রায় ও ০৯/০৪/২০২৬ তারিখের ডিক্রি বাতিল করিয়া SA ২৩৮ নং খতিয়ানের ভিত্তিতে বাদীদের অনুকূলে প্রাথমিক ডিক্রি (Preliminary Decree) প্রদানের প্রার্থনা জানাইতেছি।"*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2026-08-15T07:30:55.783Z</dcterms:created>
  <dcterms:modified xsi:type="dcterms:W3CDTF">2026-08-15T07:30:55.783Z</dcterms:modified>
</cp:coreProperties>
</file>

<file path=docProps/custom.xml><?xml version="1.0" encoding="utf-8"?>
<Properties xmlns="http://schemas.openxmlformats.org/officeDocument/2006/custom-properties" xmlns:vt="http://schemas.openxmlformats.org/officeDocument/2006/docPropsVTypes"/>
</file>