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r>
        <w:rPr>
          <w:rFonts w:ascii="Kalpurush" w:cs="Kalpurush" w:eastAsia="Kalpurush" w:hAnsi="Kalpurush"/>
          <w:b/>
          <w:bCs/>
          <w:sz w:val="20"/>
          <w:szCs w:val="20"/>
        </w:rPr>
        <w:t xml:space="preserve">আপীল্যান্টপক্ষের শুনানির সারসংক্ষেপ (Version 55 — Final Master Summary)</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প্রারম্ভিক বক্তব্য (The Core Question)</w:t>
      </w:r>
    </w:p>
    <w:p>
      <w:r>
        <w:rPr>
          <w:rFonts w:ascii="Kalpurush" w:cs="Kalpurush" w:eastAsia="Kalpurush" w:hAnsi="Kalpurush"/>
          <w:sz w:val="20"/>
          <w:szCs w:val="20"/>
        </w:rPr>
        <w:t xml:space="preserve">চূড়ান্তভাবে প্রকাশিত SA ২৩৮ নং খতিয়ান দ্বারা রাষ্ট্র আব্দুল আলীকে একক রায়ত হিসেবে স্বীকৃতি দিয়াছে। যে পক্ষ এই State Recognition অস্বীকার করে, সেই পক্ষকেই উহা ভাঙিবার জন্য নির্ভরযোগ্য প্রমাণ উপস্থাপন করিতে হইবে।</w:t>
      </w:r>
    </w:p>
    <w:p>
      <w:r>
        <w:rPr>
          <w:rFonts w:ascii="Kalpurush" w:cs="Kalpurush" w:eastAsia="Kalpurush" w:hAnsi="Kalpurush"/>
        </w:rPr>
        <w:t xml:space="preserve"/>
      </w:r>
    </w:p>
    <w:p>
      <w:r>
        <w:rPr>
          <w:rFonts w:ascii="Kalpurush" w:cs="Kalpurush" w:eastAsia="Kalpurush" w:hAnsi="Kalpurush"/>
          <w:b/>
          <w:bCs/>
          <w:sz w:val="20"/>
          <w:szCs w:val="20"/>
        </w:rPr>
        <w:t xml:space="preserve">প্রকৃত প্রশ্ন:</w:t>
      </w:r>
      <w:r>
        <w:rPr>
          <w:rFonts w:ascii="Kalpurush" w:cs="Kalpurush" w:eastAsia="Kalpurush" w:hAnsi="Kalpurush"/>
          <w:sz w:val="20"/>
          <w:szCs w:val="20"/>
        </w:rPr>
        <w:t xml:space="preserve"> একটি চূড়ান্তভাবে প্রকাশিত ও আজও অপরিবর্তিত State Record কি একটি অপ্রমাণিত Misc Case এবং parent-order বিহীন volume note দ্বারা পরাজিত হইতে পারে? আইন ও প্রমাণ উভয়ের উত্তর—না।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1: SA ২৩৮ খতিয়ান কি বহাল আছে?</w:t>
      </w:r>
    </w:p>
    <w:p>
      <w:pPr>
        <w:pStyle w:val="ListParagraph"/>
        <w:numPr>
          <w:ilvl w:val="0"/>
          <w:numId w:val="1"/>
        </w:numPr>
      </w:pPr>
      <w:r>
        <w:rPr>
          <w:rFonts w:ascii="Kalpurush" w:cs="Kalpurush" w:eastAsia="Kalpurush" w:hAnsi="Kalpurush"/>
          <w:b/>
          <w:bCs/>
          <w:sz w:val="20"/>
          <w:szCs w:val="20"/>
        </w:rPr>
        <w:t xml:space="preserve">State Recognition:</w:t>
      </w:r>
      <w:r>
        <w:rPr>
          <w:rFonts w:ascii="Kalpurush" w:cs="Kalpurush" w:eastAsia="Kalpurush" w:hAnsi="Kalpurush"/>
          <w:sz w:val="20"/>
          <w:szCs w:val="20"/>
        </w:rPr>
        <w:t xml:space="preserve"> এই মামলা প্রাক্-SA (Pre-SA) কোনো কাহিনীর উপর নির্ভরশীল নয়। রাষ্ট্র Estate Acquisition-এর পর যাচাই করিয়া SA ২৩৮ খতিয়ান প্রস্তুত করিয়াছে, যেখানে আব্দুল আলী একক রায়ত। এটিই আমাদের মূল ভিত্তি।</w:t>
      </w:r>
    </w:p>
    <w:p>
      <w:pPr>
        <w:pStyle w:val="ListParagraph"/>
        <w:numPr>
          <w:ilvl w:val="0"/>
          <w:numId w:val="1"/>
        </w:numPr>
      </w:pPr>
      <w:r>
        <w:rPr>
          <w:rFonts w:ascii="Kalpurush" w:cs="Kalpurush" w:eastAsia="Kalpurush" w:hAnsi="Kalpurush"/>
          <w:b/>
          <w:bCs/>
          <w:sz w:val="20"/>
          <w:szCs w:val="20"/>
        </w:rPr>
        <w:t xml:space="preserve">Corroborative Evidence:</w:t>
      </w:r>
      <w:r>
        <w:rPr>
          <w:rFonts w:ascii="Kalpurush" w:cs="Kalpurush" w:eastAsia="Kalpurush" w:hAnsi="Kalpurush"/>
          <w:sz w:val="20"/>
          <w:szCs w:val="20"/>
        </w:rPr>
        <w:t xml:space="preserve"> ২৩৯৮ নং রেজিস্ট্রিকৃত দলিল (১৯৫৭) এবং ১৩৫৭ সালের খাজনা রসিদ এই State Record-এর সহায়ক প্রমাণ। উক্ত দলিলভুক্ত জমিও পরবর্তীতে SA ২৩৮ নং খতিয়ানের অন্তর্ভুক্ত হইয়াছে। ফলে দলিলটি দেখায় যে SA অপারেশন চলাকালীন সময়ে আব্দুল আলী সংশ্লিষ্ট মৌজায় প্রকাশ্য ও স্বীকৃত ভূমি-অধিকারী ব্যক্তি হিসেবে পরিচিত ছিলেন।</w:t>
      </w:r>
    </w:p>
    <w:p>
      <w:pPr>
        <w:pStyle w:val="ListParagraph"/>
        <w:numPr>
          <w:ilvl w:val="0"/>
          <w:numId w:val="1"/>
        </w:numPr>
      </w:pPr>
      <w:r>
        <w:rPr>
          <w:rFonts w:ascii="Kalpurush" w:cs="Kalpurush" w:eastAsia="Kalpurush" w:hAnsi="Kalpurush"/>
          <w:b/>
          <w:bCs/>
          <w:sz w:val="20"/>
          <w:szCs w:val="20"/>
        </w:rPr>
        <w:t xml:space="preserve">The Impossible Theory:</w:t>
      </w:r>
      <w:r>
        <w:rPr>
          <w:rFonts w:ascii="Kalpurush" w:cs="Kalpurush" w:eastAsia="Kalpurush" w:hAnsi="Kalpurush"/>
          <w:sz w:val="20"/>
          <w:szCs w:val="20"/>
        </w:rPr>
        <w:t xml:space="preserve"> বিবাদীদের দাবি মানিতে হইলে বিশ্বাস করিতে হইবে জরিপ কর্তৃপক্ষ, ড্রাফট, আপীল, রিভিশন — সবাই ভুল করিয়াছে এবং ৫০ বছরেও কেহ Record Room-এ সেই ভুল শুধরায়নি।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2: Burden of Proof (Section 144A)</w:t>
      </w:r>
    </w:p>
    <w:p>
      <w:pPr>
        <w:pStyle w:val="ListParagraph"/>
        <w:numPr>
          <w:ilvl w:val="0"/>
          <w:numId w:val="1"/>
        </w:numPr>
      </w:pPr>
      <w:r>
        <w:rPr>
          <w:rFonts w:ascii="Kalpurush" w:cs="Kalpurush" w:eastAsia="Kalpurush" w:hAnsi="Kalpurush"/>
          <w:b/>
          <w:bCs/>
          <w:sz w:val="20"/>
          <w:szCs w:val="20"/>
        </w:rPr>
        <w:t xml:space="preserve">Chain of Title:</w:t>
      </w:r>
      <w:r>
        <w:rPr>
          <w:rFonts w:ascii="Kalpurush" w:cs="Kalpurush" w:eastAsia="Kalpurush" w:hAnsi="Kalpurush"/>
          <w:sz w:val="20"/>
          <w:szCs w:val="20"/>
        </w:rPr>
        <w:t xml:space="preserve"> State Recognition (SA 238) → Record Room Continuity → উত্তরাধিকার।</w:t>
      </w:r>
    </w:p>
    <w:p>
      <w:pPr>
        <w:pStyle w:val="ListParagraph"/>
        <w:numPr>
          <w:ilvl w:val="0"/>
          <w:numId w:val="1"/>
        </w:numPr>
      </w:pPr>
      <w:r>
        <w:rPr>
          <w:rFonts w:ascii="Kalpurush" w:cs="Kalpurush" w:eastAsia="Kalpurush" w:hAnsi="Kalpurush"/>
          <w:b/>
          <w:bCs/>
          <w:sz w:val="20"/>
          <w:szCs w:val="20"/>
        </w:rPr>
        <w:t xml:space="preserve">Section 103 Evidence Act:</w:t>
      </w:r>
      <w:r>
        <w:rPr>
          <w:rFonts w:ascii="Kalpurush" w:cs="Kalpurush" w:eastAsia="Kalpurush" w:hAnsi="Kalpurush"/>
          <w:sz w:val="20"/>
          <w:szCs w:val="20"/>
        </w:rPr>
        <w:t xml:space="preserve"> যিনি দাবি করেন যে এই খতিয়ান সংশোধিত হইয়াছে, সেই সংশোধনের প্রমাণ দেওয়ার সম্পূর্ণ দায়িত্ব (Burden of Proof) তাহার। </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3: 1934 সালের পত্তন এবং 1969 সালের Misc Case-এর পতন</w:t>
      </w:r>
    </w:p>
    <w:p>
      <w:pPr>
        <w:pStyle w:val="ListParagraph"/>
        <w:numPr>
          <w:ilvl w:val="0"/>
          <w:numId w:val="1"/>
        </w:numPr>
      </w:pPr>
      <w:r>
        <w:rPr>
          <w:rFonts w:ascii="Kalpurush" w:cs="Kalpurush" w:eastAsia="Kalpurush" w:hAnsi="Kalpurush"/>
          <w:b/>
          <w:bCs/>
          <w:sz w:val="20"/>
          <w:szCs w:val="20"/>
        </w:rPr>
        <w:t xml:space="preserve">পত্তন বাতিল:</w:t>
      </w:r>
      <w:r>
        <w:rPr>
          <w:rFonts w:ascii="Kalpurush" w:cs="Kalpurush" w:eastAsia="Kalpurush" w:hAnsi="Kalpurush"/>
          <w:sz w:val="20"/>
          <w:szCs w:val="20"/>
        </w:rPr>
        <w:t xml:space="preserve"> ১৯৩৪ সালের কথিত পত্তনের কোনো রেজিস্ট্রিকৃত দলিল নাই। অধিকন্তু, SAT Act-এর অধীনে রাষ্ট্রীয় অধিগ্রহণের পর পূর্ববর্তী যেকোনো অনিবন্ধিত পত্তনভিত্তিক দাবি স্বয়ংক্রিয়ভাবে বিলুপ্ত হইয়াছে (4 SCOB [2015] HCD 52)।</w:t>
      </w:r>
    </w:p>
    <w:p>
      <w:pPr>
        <w:pStyle w:val="ListParagraph"/>
        <w:numPr>
          <w:ilvl w:val="0"/>
          <w:numId w:val="1"/>
        </w:numPr>
      </w:pPr>
      <w:r>
        <w:rPr>
          <w:rFonts w:ascii="Kalpurush" w:cs="Kalpurush" w:eastAsia="Kalpurush" w:hAnsi="Kalpurush"/>
          <w:b/>
          <w:bCs/>
          <w:sz w:val="20"/>
          <w:szCs w:val="20"/>
        </w:rPr>
        <w:t xml:space="preserve">Misc Case অপ্রমাণিত:</w:t>
      </w:r>
      <w:r>
        <w:rPr>
          <w:rFonts w:ascii="Kalpurush" w:cs="Kalpurush" w:eastAsia="Kalpurush" w:hAnsi="Kalpurush"/>
          <w:sz w:val="20"/>
          <w:szCs w:val="20"/>
        </w:rPr>
        <w:t xml:space="preserve"> ১৯৬৯ সালের Misc Case-এর কোনো আদেশ, রায় বা প্রত্যয়িত কপি আদালতে নাই। Misc Case-এ title নির্ধারণ করা যায় না (27 BLD (HD) 544)।</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4: AC Land Volume Note-এর অকার্যকারিতা</w:t>
      </w:r>
    </w:p>
    <w:p>
      <w:pPr>
        <w:pStyle w:val="ListParagraph"/>
        <w:numPr>
          <w:ilvl w:val="0"/>
          <w:numId w:val="1"/>
        </w:numPr>
      </w:pPr>
      <w:r>
        <w:rPr>
          <w:rFonts w:ascii="Kalpurush" w:cs="Kalpurush" w:eastAsia="Kalpurush" w:hAnsi="Kalpurush"/>
          <w:b/>
          <w:bCs/>
          <w:sz w:val="20"/>
          <w:szCs w:val="20"/>
        </w:rPr>
        <w:t xml:space="preserve">Root and Fruit Theory:</w:t>
      </w:r>
      <w:r>
        <w:rPr>
          <w:rFonts w:ascii="Kalpurush" w:cs="Kalpurush" w:eastAsia="Kalpurush" w:hAnsi="Kalpurush"/>
          <w:sz w:val="20"/>
          <w:szCs w:val="20"/>
        </w:rPr>
        <w:t xml:space="preserve"> </w:t>
      </w:r>
    </w:p>
    <w:p>
      <w:r>
        <w:rPr>
          <w:rFonts w:ascii="Kalpurush" w:cs="Kalpurush" w:eastAsia="Kalpurush" w:hAnsi="Kalpurush"/>
          <w:sz w:val="20"/>
          <w:szCs w:val="20"/>
        </w:rPr>
        <w:t xml:space="preserve">  &gt; "My Lord, when the alleged root order itself is absent, the fruit derived from it cannot survive independently."</w:t>
      </w:r>
    </w:p>
    <w:p>
      <w:r>
        <w:rPr>
          <w:rFonts w:ascii="Kalpurush" w:cs="Kalpurush" w:eastAsia="Kalpurush" w:hAnsi="Kalpurush"/>
          <w:sz w:val="20"/>
          <w:szCs w:val="20"/>
        </w:rPr>
        <w:t xml:space="preserve">  কথিত Misc Case যদি প্রমাণিত না হয়, তবে সেই Misc Case-এর ফলশ্রুতি হিসেবে দাবি করা Volume Note-ও স্বাধীনভাবে টিকিয়া থাকিতে পারে না। মূল আদেশ (Root) ব্যর্থ হলে নির্ভরশীল নোটও (Fruit) ব্যর্থ হয়।</w:t>
      </w:r>
    </w:p>
    <w:p>
      <w:pPr>
        <w:pStyle w:val="ListParagraph"/>
        <w:numPr>
          <w:ilvl w:val="0"/>
          <w:numId w:val="1"/>
        </w:numPr>
      </w:pPr>
      <w:r>
        <w:rPr>
          <w:rFonts w:ascii="Kalpurush" w:cs="Kalpurush" w:eastAsia="Kalpurush" w:hAnsi="Kalpurush"/>
          <w:b/>
          <w:bCs/>
          <w:sz w:val="20"/>
          <w:szCs w:val="20"/>
        </w:rPr>
        <w:t xml:space="preserve">৭টি ধাপের অনুপস্থিতি:</w:t>
      </w:r>
      <w:r>
        <w:rPr>
          <w:rFonts w:ascii="Kalpurush" w:cs="Kalpurush" w:eastAsia="Kalpurush" w:hAnsi="Kalpurush"/>
          <w:sz w:val="20"/>
          <w:szCs w:val="20"/>
        </w:rPr>
        <w:t xml:space="preserve"> সুনির্দিষ্ট case নম্বর, নোটিশ, তদন্ত, আনুষ্ঠানিক আদেশ, এবং Register of Alterations-এ এন্ট্রি — এর কোনোটিই নাই। এটি একটি অনিয়মজাত মার্জিন নোট মাত্র (53 DLR 19)।</w:t>
      </w:r>
    </w:p>
    <w:p>
      <w:pPr>
        <w:pStyle w:val="ListParagraph"/>
        <w:numPr>
          <w:ilvl w:val="0"/>
          <w:numId w:val="1"/>
        </w:numPr>
      </w:pPr>
      <w:r>
        <w:rPr>
          <w:rFonts w:ascii="Kalpurush" w:cs="Kalpurush" w:eastAsia="Kalpurush" w:hAnsi="Kalpurush"/>
          <w:b/>
          <w:bCs/>
          <w:sz w:val="20"/>
          <w:szCs w:val="20"/>
        </w:rPr>
        <w:t xml:space="preserve">The Silence of the Record Room:</w:t>
      </w:r>
      <w:r>
        <w:rPr>
          <w:rFonts w:ascii="Kalpurush" w:cs="Kalpurush" w:eastAsia="Kalpurush" w:hAnsi="Kalpurush"/>
          <w:sz w:val="20"/>
          <w:szCs w:val="20"/>
        </w:rPr>
        <w:t xml:space="preserve"> যদি সংশোধন বৈধ হইত, তবে তা District Record Room-এর মূল SA খতিয়ানে থাকিত। আজও মূল খতিয়ান অপরিবর্তিত।</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5: AC Land-এর এখতিয়ার এবং ট্রায়াল কোর্টের ভুল</w:t>
      </w:r>
    </w:p>
    <w:p>
      <w:pPr>
        <w:pStyle w:val="ListParagraph"/>
        <w:numPr>
          <w:ilvl w:val="0"/>
          <w:numId w:val="1"/>
        </w:numPr>
      </w:pPr>
      <w:r>
        <w:rPr>
          <w:rFonts w:ascii="Kalpurush" w:cs="Kalpurush" w:eastAsia="Kalpurush" w:hAnsi="Kalpurush"/>
          <w:b/>
          <w:bCs/>
          <w:sz w:val="20"/>
          <w:szCs w:val="20"/>
        </w:rPr>
        <w:t xml:space="preserve">এখতিয়ার বহির্ভূত কাজ:</w:t>
      </w:r>
      <w:r>
        <w:rPr>
          <w:rFonts w:ascii="Kalpurush" w:cs="Kalpurush" w:eastAsia="Kalpurush" w:hAnsi="Kalpurush"/>
          <w:sz w:val="20"/>
          <w:szCs w:val="20"/>
        </w:rPr>
        <w:t xml:space="preserve"> AC Land বা রাজস্ব কর্মকর্তার mutation jurisdiction স্বত্ব নির্ধারণের (adjudication of title) jurisdiction নহে। নতুন অংশীদার সংযোজন বা বিদ্যমান রায়তের স্বত্ব কর্তন করিয়া প্রতিদ্বন্দ্বী স্বত্ব সৃষ্টি করা তাহার এখতিয়ারভুক্ত নহে (29 BLC (HD) 160)। </w:t>
      </w:r>
    </w:p>
    <w:p>
      <w:pPr>
        <w:pStyle w:val="ListParagraph"/>
        <w:numPr>
          <w:ilvl w:val="0"/>
          <w:numId w:val="1"/>
        </w:numPr>
      </w:pPr>
      <w:r>
        <w:rPr>
          <w:rFonts w:ascii="Kalpurush" w:cs="Kalpurush" w:eastAsia="Kalpurush" w:hAnsi="Kalpurush"/>
          <w:b/>
          <w:bCs/>
          <w:sz w:val="20"/>
          <w:szCs w:val="20"/>
        </w:rPr>
        <w:t xml:space="preserve">Standard Error:</w:t>
      </w:r>
      <w:r>
        <w:rPr>
          <w:rFonts w:ascii="Kalpurush" w:cs="Kalpurush" w:eastAsia="Kalpurush" w:hAnsi="Kalpurush"/>
          <w:sz w:val="20"/>
          <w:szCs w:val="20"/>
        </w:rPr>
        <w:t xml:space="preserve"> একটি State Record-এর বিপরীতে স্বত্বের মৌলিক পরিবর্তনের জন্য strict evidentiary standard প্রয়োজন। ট্রায়াল কোর্ট একটি এখতিয়ার বহির্ভূত ও অপ্রমাণিত Misc Case-এর উপর ভিত্তি করিয়া তা গ্রহণ করিয়াছেন।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6: Partition Suit-এর বাধা</w:t>
      </w:r>
    </w:p>
    <w:p>
      <w:pPr>
        <w:pStyle w:val="ListParagraph"/>
        <w:numPr>
          <w:ilvl w:val="0"/>
          <w:numId w:val="1"/>
        </w:numPr>
      </w:pPr>
      <w:r>
        <w:rPr>
          <w:rFonts w:ascii="Kalpurush" w:cs="Kalpurush" w:eastAsia="Kalpurush" w:hAnsi="Kalpurush"/>
          <w:sz w:val="20"/>
          <w:szCs w:val="20"/>
        </w:rPr>
        <w:t xml:space="preserve">বিবাদীরা কোনো saham বা allotment চাননি, শুধু বন্টন বন্ধ রাখিতে চান। Hotchpot বা সরকারি পক্ষ যুক্ত না করার কারণে ব্যক্তিগত বাটোয়ারা মামলা বাতিল হয় না (49 DLR (AD) 15)।</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7: 1975 সালের দলিলে বিবাদীদের স্বীকৃতি</w:t>
      </w:r>
    </w:p>
    <w:p>
      <w:pPr>
        <w:pStyle w:val="ListParagraph"/>
        <w:numPr>
          <w:ilvl w:val="0"/>
          <w:numId w:val="1"/>
        </w:numPr>
      </w:pPr>
      <w:r>
        <w:rPr>
          <w:rFonts w:ascii="Kalpurush" w:cs="Kalpurush" w:eastAsia="Kalpurush" w:hAnsi="Kalpurush"/>
          <w:sz w:val="20"/>
          <w:szCs w:val="20"/>
        </w:rPr>
        <w:t xml:space="preserve">বিবাদীরা দাবি করেন SA ২৩৮-এ মাত্র ১টি দাগ। অথচ তাদের নিজেদের ১৯৭৫ সালের ৩৫৯৬ নং দলিলেই SA ২৩৮-এ ৬টি দাগ উল্লেখ করা হইয়াছে! এটি প্রমাণ করে তারা নিজেরাই Volume Note-এর কথিত সংশোধন বিশ্বাস করেননি (Section 114(গ) Evidence Act)।</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Conclusion &amp; Prayer</w:t>
      </w:r>
    </w:p>
    <w:p>
      <w:r>
        <w:rPr>
          <w:rFonts w:ascii="Kalpurush" w:cs="Kalpurush" w:eastAsia="Kalpurush" w:hAnsi="Kalpurush"/>
          <w:sz w:val="20"/>
          <w:szCs w:val="20"/>
        </w:rPr>
        <w:t xml:space="preserve">রাষ্ট্রীয় রেকর্ড (SA ২৩৮) বনাম অপ্রমাণিত কাহিনী ও মার্জিন নোট। আইন সর্বদা প্রমাণিত রেকর্ডের পক্ষে দাঁড়ায়। </w:t>
      </w:r>
    </w:p>
    <w:p>
      <w:r>
        <w:rPr>
          <w:rFonts w:ascii="Kalpurush" w:cs="Kalpurush" w:eastAsia="Kalpurush" w:hAnsi="Kalpurush"/>
        </w:rPr>
        <w:t xml:space="preserve"/>
      </w:r>
    </w:p>
    <w:p>
      <w:r>
        <w:rPr>
          <w:rFonts w:ascii="Kalpurush" w:cs="Kalpurush" w:eastAsia="Kalpurush" w:hAnsi="Kalpurush"/>
          <w:b/>
          <w:bCs/>
          <w:sz w:val="20"/>
          <w:szCs w:val="20"/>
        </w:rPr>
        <w:t xml:space="preserve">অতএব, বিনীত প্রার্থনা এই যে:</w:t>
      </w:r>
    </w:p>
    <w:p>
      <w:r>
        <w:rPr>
          <w:rFonts w:ascii="Kalpurush" w:cs="Kalpurush" w:eastAsia="Kalpurush" w:hAnsi="Kalpurush"/>
          <w:sz w:val="20"/>
          <w:szCs w:val="20"/>
        </w:rPr>
        <w:t xml:space="preserve">১. ট্রায়াল কোর্টের রায় ও ডিক্রি বাতিল করা হোক।</w:t>
      </w:r>
    </w:p>
    <w:p>
      <w:r>
        <w:rPr>
          <w:rFonts w:ascii="Kalpurush" w:cs="Kalpurush" w:eastAsia="Kalpurush" w:hAnsi="Kalpurush"/>
          <w:sz w:val="20"/>
          <w:szCs w:val="20"/>
        </w:rPr>
        <w:t xml:space="preserve">২. আপীল মঞ্জুর করা হোক।</w:t>
      </w:r>
    </w:p>
    <w:p>
      <w:r>
        <w:rPr>
          <w:rFonts w:ascii="Kalpurush" w:cs="Kalpurush" w:eastAsia="Kalpurush" w:hAnsi="Kalpurush"/>
          <w:sz w:val="20"/>
          <w:szCs w:val="20"/>
        </w:rPr>
        <w:t xml:space="preserve">৩. আপীল্যান্ট ও ১নং রেসপন্ডেন্টের অনুকূলে বাটোয়ারার প্রাথমিক ডিক্রি (Preliminary Decree) প্রদান করা হোক।</w:t>
      </w:r>
    </w:p>
    <w:p>
      <w:r>
        <w:rPr>
          <w:rFonts w:ascii="Kalpurush" w:cs="Kalpurush" w:eastAsia="Kalpurush" w:hAnsi="Kalpurush"/>
          <w:sz w:val="20"/>
          <w:szCs w:val="20"/>
        </w:rPr>
        <w:t xml:space="preserve">৪. মামলার খরচ বিবাদীদের উপর ধার্য করা হোক।</w:t>
      </w:r>
    </w:p>
    <w:p>
      <w:r>
        <w:rPr>
          <w:rFonts w:ascii="Kalpurush" w:cs="Kalpurush" w:eastAsia="Kalpurush" w:hAnsi="Kalpurush"/>
        </w:rPr>
        <w:t xml:space="preserve"/>
      </w:r>
    </w:p>
    <w:p>
      <w:r>
        <w:rPr>
          <w:rFonts w:ascii="Kalpurush" w:cs="Kalpurush" w:eastAsia="Kalpurush" w:hAnsi="Kalpurush"/>
          <w:b/>
          <w:bCs/>
          <w:sz w:val="20"/>
          <w:szCs w:val="20"/>
        </w:rPr>
        <w:t xml:space="preserve">Top Authorities:</w:t>
      </w:r>
      <w:r>
        <w:rPr>
          <w:rFonts w:ascii="Kalpurush" w:cs="Kalpurush" w:eastAsia="Kalpurush" w:hAnsi="Kalpurush"/>
          <w:sz w:val="20"/>
          <w:szCs w:val="20"/>
        </w:rPr>
        <w:t xml:space="preserve"> 50 DLR 186 (SA Presumption), 18 SCOB [2023] AD 20 (Procured SA entry cannot override title), 29 BLC (HD) 160 (No jurisdiction of AC Land if ownership is affected), 27 BLD (HD) 544 (No title in Misc Case), 53 DLR 19 (No value of Volume Note).</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2026-06-24T10:46:34.272Z</dcterms:created>
  <dcterms:modified xsi:type="dcterms:W3CDTF">2026-06-24T10:46:34.272Z</dcterms:modified>
</cp:coreProperties>
</file>

<file path=docProps/custom.xml><?xml version="1.0" encoding="utf-8"?>
<Properties xmlns="http://schemas.openxmlformats.org/officeDocument/2006/custom-properties" xmlns:vt="http://schemas.openxmlformats.org/officeDocument/2006/docPropsVTypes"/>
</file>