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rPr>
          <w:rFonts w:ascii="Kalpurush" w:cs="Kalpurush" w:eastAsia="Kalpurush" w:hAnsi="Kalpurush"/>
          <w:sz w:val="20"/>
          <w:szCs w:val="20"/>
        </w:rPr>
        <w:t xml:space="preserve">জেলা জজ আদালত, টাঙ্গাইল</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আপীল মামলা নং ৩৮/২০২৬</w:t>
      </w:r>
    </w:p>
    <w:p>
      <w:pPr>
        <w:pStyle w:val="Heading3"/>
      </w:pPr>
      <w:r>
        <w:rPr>
          <w:rFonts w:ascii="Kalpurush" w:cs="Kalpurush" w:eastAsia="Kalpurush" w:hAnsi="Kalpurush"/>
          <w:sz w:val="20"/>
          <w:szCs w:val="20"/>
        </w:rPr>
        <w:t xml:space="preserve">(বাটোয়ারা মামলা নং ৬৬/২০১৬, সখিপুর সিভিল জজ আদালত হইতে উদ্ভূত)</w:t>
      </w:r>
    </w:p>
    <w:p>
      <w:r>
        <w:rPr>
          <w:rFonts w:ascii="Kalpurush" w:cs="Kalpurush" w:eastAsia="Kalpurush" w:hAnsi="Kalpurush"/>
        </w:rPr>
        <w:t xml:space="preserve"/>
      </w:r>
    </w:p>
    <w:p>
      <w:r>
        <w:rPr>
          <w:rFonts w:ascii="Kalpurush" w:cs="Kalpurush" w:eastAsia="Kalpurush" w:hAnsi="Kalpurush"/>
          <w:b/>
          <w:bCs/>
          <w:sz w:val="20"/>
          <w:szCs w:val="20"/>
        </w:rPr>
        <w:t xml:space="preserve">হাতেম আলী ও অন্যান্য (আপীল্যান্ট/বাদী)</w:t>
      </w:r>
    </w:p>
    <w:p>
      <w:r>
        <w:rPr>
          <w:rFonts w:ascii="Kalpurush" w:cs="Kalpurush" w:eastAsia="Kalpurush" w:hAnsi="Kalpurush"/>
          <w:sz w:val="20"/>
          <w:szCs w:val="20"/>
        </w:rPr>
        <w:t xml:space="preserve">বনাম</w:t>
      </w:r>
    </w:p>
    <w:p>
      <w:r>
        <w:rPr>
          <w:rFonts w:ascii="Kalpurush" w:cs="Kalpurush" w:eastAsia="Kalpurush" w:hAnsi="Kalpurush"/>
          <w:b/>
          <w:bCs/>
          <w:sz w:val="20"/>
          <w:szCs w:val="20"/>
        </w:rPr>
        <w:t xml:space="preserve">আলহাজ উদ্দিন ও অন্যান্য (রেসপন্ডেন্ট/বিবাদী)</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আপীল্যান্টপক্ষের চূড়ান্ত/পরিপূরক লিখিত যুক্তিতর্ক</w:t>
      </w:r>
    </w:p>
    <w:p>
      <w:r>
        <w:rPr>
          <w:rFonts w:ascii="Kalpurush" w:cs="Kalpurush" w:eastAsia="Kalpurush" w:hAnsi="Kalpurush"/>
          <w:b/>
          <w:bCs/>
          <w:sz w:val="20"/>
          <w:szCs w:val="20"/>
        </w:rPr>
        <w:t xml:space="preserve">Version 93 — The Three-Layer Framework</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আদালতের সদয় অবগতির জন্য নিবেদন এই যে, অত্র আপীলের ন্যায়ানুগ নিষ্পত্তির নিমিত্তে আপীল্যান্টপক্ষ নিজেদের মামলাটিকে একটি নির্দিষ্ট ৩-স্তরের (3-Layer) কাঠামোর মধ্যে সীমাবদ্ধ রাখিতে চাহে। </w:t>
      </w:r>
    </w:p>
    <w:p>
      <w:r>
        <w:rPr>
          <w:rFonts w:ascii="Kalpurush" w:cs="Kalpurush" w:eastAsia="Kalpurush" w:hAnsi="Kalpurush"/>
        </w:rPr>
        <w:t xml:space="preserve"/>
      </w:r>
    </w:p>
    <w:p>
      <w:r>
        <w:rPr>
          <w:rFonts w:ascii="Kalpurush" w:cs="Kalpurush" w:eastAsia="Kalpurush" w:hAnsi="Kalpurush"/>
          <w:sz w:val="20"/>
          <w:szCs w:val="20"/>
        </w:rPr>
        <w:t xml:space="preserve">এই আপীলের প্রকৃত বিচার্য বিষয় কোনো পক্ষের অসৎ উদ্দেশ্য বা জালিয়াতির প্রমাণ নয়; বরং প্রশ্ন হলো—একটি চূড়ান্ত প্রকাশিত State record-কে displace করার জন্য যে particular factual theory এবং documentary foundation প্রয়োজন, বিবাদীপক্ষ তাহা সন্তোষজনকভাবে প্রমাণ করিতে পারিয়াছে কি না।</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১. আপীলের তিনটি স্তর (The Three-Layer Core Theory)</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 এই আপীলটিকে নিম্নলিখিত তিনটি স্তরে ভাগ করিয়া বিবেচনা করা অধিকতর নিরাপদ ও আইনসম্মত:</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Layer A — The Record Presumption</w:t>
      </w:r>
    </w:p>
    <w:p>
      <w:r>
        <w:rPr>
          <w:rFonts w:ascii="Kalpurush" w:cs="Kalpurush" w:eastAsia="Kalpurush" w:hAnsi="Kalpurush"/>
          <w:b/>
          <w:bCs/>
          <w:sz w:val="20"/>
          <w:szCs w:val="20"/>
        </w:rPr>
        <w:t xml:space="preserve">SA 238 → Section 144A presumption → Abdul Ali recorded 16 anna.</w:t>
      </w:r>
    </w:p>
    <w:p>
      <w:r>
        <w:rPr>
          <w:rFonts w:ascii="Kalpurush" w:cs="Kalpurush" w:eastAsia="Kalpurush" w:hAnsi="Kalpurush"/>
          <w:sz w:val="20"/>
          <w:szCs w:val="20"/>
        </w:rPr>
        <w:t xml:space="preserve">SAT Act-এর 144A ধারা অনুযায়ী SA 238 হলো statutory record-of-rights, যাহা ভুল প্রমাণিত না হওয়া পর্যন্ত evidence হিসেবে presume করা হইবে। আমরা বলছি না যে SA 238 conclusive title বা অখণ্ডনীয়। তবে এটি প্রমাণের প্রাথমিক স্তর নির্ধারণ করে (56 DLR (AD) 53)।</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Layer B — Respondents-এর Displacement Theory </w:t>
      </w:r>
    </w:p>
    <w:p>
      <w:r>
        <w:rPr>
          <w:rFonts w:ascii="Kalpurush" w:cs="Kalpurush" w:eastAsia="Kalpurush" w:hAnsi="Kalpurush"/>
          <w:b/>
          <w:bCs/>
          <w:sz w:val="20"/>
          <w:szCs w:val="20"/>
        </w:rPr>
        <w:t xml:space="preserve">Abdul Karim root → Sonabhanu inheritance → Misc 1181/1969 → correction → AC volume.</w:t>
      </w:r>
    </w:p>
    <w:p>
      <w:r>
        <w:rPr>
          <w:rFonts w:ascii="Kalpurush" w:cs="Kalpurush" w:eastAsia="Kalpurush" w:hAnsi="Kalpurush"/>
          <w:sz w:val="20"/>
          <w:szCs w:val="20"/>
        </w:rPr>
        <w:t xml:space="preserve">বিবাদীপক্ষ একটি affirmative case গঠন করিয়াছে যে SA 238-এর entry ভুল। তাহাদের theory-র প্রতিটি link আলাদাভাবে পরীক্ষাযোগ্য:</w:t>
      </w:r>
    </w:p>
    <w:p>
      <w:pPr>
        <w:ind w:left="720"/>
      </w:pPr>
      <w:r>
        <w:rPr>
          <w:rFonts w:ascii="Kalpurush" w:cs="Kalpurush" w:eastAsia="Kalpurush" w:hAnsi="Kalpurush"/>
          <w:i/>
          <w:iCs/>
          <w:sz w:val="20"/>
          <w:szCs w:val="20"/>
        </w:rPr>
        <w:t xml:space="preserve">Where is the root (1934 tenancy)?</w:t>
      </w:r>
    </w:p>
    <w:p>
      <w:pPr>
        <w:ind w:left="720"/>
      </w:pPr>
      <w:r>
        <w:rPr>
          <w:rFonts w:ascii="Kalpurush" w:cs="Kalpurush" w:eastAsia="Kalpurush" w:hAnsi="Kalpurush"/>
          <w:i/>
          <w:iCs/>
          <w:sz w:val="20"/>
          <w:szCs w:val="20"/>
        </w:rPr>
        <w:t xml:space="preserve">Where is the order (Misc 1181/1969)?</w:t>
      </w:r>
    </w:p>
    <w:p>
      <w:pPr>
        <w:ind w:left="720"/>
      </w:pPr>
      <w:r>
        <w:rPr>
          <w:rFonts w:ascii="Kalpurush" w:cs="Kalpurush" w:eastAsia="Kalpurush" w:hAnsi="Kalpurush"/>
          <w:i/>
          <w:iCs/>
          <w:sz w:val="20"/>
          <w:szCs w:val="20"/>
        </w:rPr>
        <w:t xml:space="preserve">What was its jurisdiction?</w:t>
      </w:r>
    </w:p>
    <w:p>
      <w:pPr>
        <w:ind w:left="720"/>
      </w:pPr>
      <w:r>
        <w:rPr>
          <w:rFonts w:ascii="Kalpurush" w:cs="Kalpurush" w:eastAsia="Kalpurush" w:hAnsi="Kalpurush"/>
          <w:i/>
          <w:iCs/>
          <w:sz w:val="20"/>
          <w:szCs w:val="20"/>
        </w:rPr>
        <w:t xml:space="preserve">What was its legal effect?</w:t>
      </w:r>
    </w:p>
    <w:p>
      <w:pPr>
        <w:ind w:left="720"/>
      </w:pPr>
      <w:r>
        <w:rPr>
          <w:rFonts w:ascii="Kalpurush" w:cs="Kalpurush" w:eastAsia="Kalpurush" w:hAnsi="Kalpurush"/>
          <w:i/>
          <w:iCs/>
          <w:sz w:val="20"/>
          <w:szCs w:val="20"/>
        </w:rPr>
        <w:t xml:space="preserve">How was it implemented?</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Layer C — Litigation Conduct ও Documentary Contradiction</w:t>
      </w:r>
    </w:p>
    <w:p>
      <w:r>
        <w:rPr>
          <w:rFonts w:ascii="Kalpurush" w:cs="Kalpurush" w:eastAsia="Kalpurush" w:hAnsi="Kalpurush"/>
          <w:sz w:val="20"/>
          <w:szCs w:val="20"/>
        </w:rPr>
        <w:t xml:space="preserve">যদি Layer B-এর foundational documents অনুপস্থিত থাকে, তবে Court-কে বিবাদীপক্ষের সামগ্রিক conduct ও documentary footprint বিচার করিতে হইবে:</w:t>
      </w:r>
    </w:p>
    <w:p>
      <w:pPr>
        <w:ind w:left="720"/>
      </w:pPr>
      <w:r>
        <w:rPr>
          <w:rFonts w:ascii="Kalpurush" w:cs="Kalpurush" w:eastAsia="Kalpurush" w:hAnsi="Kalpurush"/>
          <w:i/>
          <w:iCs/>
          <w:sz w:val="20"/>
          <w:szCs w:val="20"/>
        </w:rPr>
        <w:t xml:space="preserve">Why did their own 1975 deed describe six dags?</w:t>
      </w:r>
    </w:p>
    <w:p>
      <w:pPr>
        <w:ind w:left="720"/>
      </w:pPr>
      <w:r>
        <w:rPr>
          <w:rFonts w:ascii="Kalpurush" w:cs="Kalpurush" w:eastAsia="Kalpurush" w:hAnsi="Kalpurush"/>
          <w:i/>
          <w:iCs/>
          <w:sz w:val="20"/>
          <w:szCs w:val="20"/>
        </w:rPr>
        <w:t xml:space="preserve">Why is the present District Settlement Record Room still inconsistent with their claimed correction?</w:t>
      </w:r>
    </w:p>
    <w:p>
      <w:pPr>
        <w:ind w:left="720"/>
      </w:pPr>
      <w:r>
        <w:rPr>
          <w:rFonts w:ascii="Kalpurush" w:cs="Kalpurush" w:eastAsia="Kalpurush" w:hAnsi="Kalpurush"/>
          <w:i/>
          <w:iCs/>
          <w:sz w:val="20"/>
          <w:szCs w:val="20"/>
        </w:rPr>
        <w:t xml:space="preserve">Why are foundational documents unavailable?</w:t>
      </w:r>
    </w:p>
    <w:p>
      <w:pPr>
        <w:ind w:left="720"/>
      </w:pPr>
      <w:r>
        <w:rPr>
          <w:rFonts w:ascii="Kalpurush" w:cs="Kalpurush" w:eastAsia="Kalpurush" w:hAnsi="Kalpurush"/>
          <w:i/>
          <w:iCs/>
          <w:sz w:val="20"/>
          <w:szCs w:val="20"/>
        </w:rPr>
        <w:t xml:space="preserve">Why is the litigation position directed principally toward dismissal rather than determination of their own share?</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২. Comparative Documentary Test এবং Inheritance</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w:t>
      </w:r>
    </w:p>
    <w:p>
      <w:r>
        <w:rPr>
          <w:rFonts w:ascii="Kalpurush" w:cs="Kalpurush" w:eastAsia="Kalpurush" w:hAnsi="Kalpurush"/>
        </w:rPr>
        <w:t xml:space="preserve"/>
      </w:r>
    </w:p>
    <w:p>
      <w:r>
        <w:rPr>
          <w:rFonts w:ascii="Kalpurush" w:cs="Kalpurush" w:eastAsia="Kalpurush" w:hAnsi="Kalpurush"/>
          <w:sz w:val="20"/>
          <w:szCs w:val="20"/>
        </w:rPr>
        <w:t xml:space="preserve">বিবাদীপক্ষের মূল দাবির একটি বড় অংশ হইল সোনাভানু আব্দুল করিমের উত্তরাধিকারী। আপীল্যান্টগণ এই factual distinction-টি স্পষ্টভাবে রাখিতে চান:</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The question is not whether Sonabhanu was an heir of Abdul Karim. The question is whether this particular SA 238 holding was Abdul Karim’s holding.</w:t>
      </w:r>
    </w:p>
    <w:p>
      <w:r>
        <w:rPr>
          <w:rFonts w:ascii="Kalpurush" w:cs="Kalpurush" w:eastAsia="Kalpurush" w:hAnsi="Kalpurush"/>
        </w:rPr>
        <w:t xml:space="preserve"/>
      </w:r>
    </w:p>
    <w:p>
      <w:r>
        <w:rPr>
          <w:rFonts w:ascii="Kalpurush" w:cs="Kalpurush" w:eastAsia="Kalpurush" w:hAnsi="Kalpurush"/>
          <w:sz w:val="20"/>
          <w:szCs w:val="20"/>
        </w:rPr>
        <w:t xml:space="preserve">তর্কের খাতিরে যদি ধরা হয় যে Sonabhanu আব্দুল করিমের অন্যান্য সম্পত্তিতে বা অন্যান্য খতিয়ানে উত্তরাধিকারসূত্রে স্বত্ব অর্জন করিয়াছিলেন, তাহা SA 238-এর নির্দিষ্ট holding-এর উপর স্বয়ংক্রিয়ভাবে একই উত্তরাধিকার দাবি প্রতিষ্ঠা করে না। </w:t>
      </w:r>
    </w:p>
    <w:p>
      <w:r>
        <w:rPr>
          <w:rFonts w:ascii="Kalpurush" w:cs="Kalpurush" w:eastAsia="Kalpurush" w:hAnsi="Kalpurush"/>
        </w:rPr>
        <w:t xml:space="preserve"/>
      </w:r>
    </w:p>
    <w:p>
      <w:r>
        <w:rPr>
          <w:rFonts w:ascii="Kalpurush" w:cs="Kalpurush" w:eastAsia="Kalpurush" w:hAnsi="Kalpurush"/>
          <w:sz w:val="20"/>
          <w:szCs w:val="20"/>
        </w:rPr>
        <w:t xml:space="preserve">প্রতিটি parcel বা holding-এর documentary identity পৃথকভাবে নির্ধারণযোগ্য। </w:t>
      </w:r>
    </w:p>
    <w:p>
      <w:r>
        <w:rPr>
          <w:rFonts w:ascii="Kalpurush" w:cs="Kalpurush" w:eastAsia="Kalpurush" w:hAnsi="Kalpurush"/>
        </w:rPr>
        <w:t xml:space="preserve"/>
      </w:r>
    </w:p>
    <w:p>
      <w:r>
        <w:rPr>
          <w:rFonts w:ascii="Kalpurush" w:cs="Kalpurush" w:eastAsia="Kalpurush" w:hAnsi="Kalpurush"/>
          <w:sz w:val="20"/>
          <w:szCs w:val="20"/>
        </w:rPr>
        <w:t xml:space="preserve">যদি Abdul Karim সত্যিই এই particular property-এর raiyat হন, তাহলে একই মৌজায় তাঁর উত্তরাধিকারীদের নামে অন্যান্য khatian-এ তাঁর interest-এর documentary reflection কীভাবে দেখা যায়? এবং যদি Sonabhanu অন্য khatian-এ Abdul Karim-এর সম্পত্তি উত্তরাধিকারসূত্রে পেয়ে থাকেন, তাহলে SA 238-এ Abdul Ali-র একক record-এর বিরুদ্ধে তাঁকে আনয়নের documentary bridge কোথায়? </w:t>
      </w:r>
    </w:p>
    <w:p>
      <w:r>
        <w:rPr>
          <w:rFonts w:ascii="Kalpurush" w:cs="Kalpurush" w:eastAsia="Kalpurush" w:hAnsi="Kalpurush"/>
        </w:rPr>
        <w:t xml:space="preserve"/>
      </w:r>
    </w:p>
    <w:p>
      <w:r>
        <w:rPr>
          <w:rFonts w:ascii="Kalpurush" w:cs="Kalpurush" w:eastAsia="Kalpurush" w:hAnsi="Kalpurush"/>
          <w:sz w:val="20"/>
          <w:szCs w:val="20"/>
        </w:rPr>
        <w:t xml:space="preserve">এই comparative test কোনো inheritance right অস্বীকার করে না; বরং disputed parcel-এর identity নির্ধারণ করে। Genealogy alone cannot substitute for identification of the disputed holding.</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৩. Misc Case 1181/1969: Missing Foundation</w:t>
      </w:r>
    </w:p>
    <w:p>
      <w:r>
        <w:rPr>
          <w:rFonts w:ascii="Kalpurush" w:cs="Kalpurush" w:eastAsia="Kalpurush" w:hAnsi="Kalpurush"/>
        </w:rPr>
        <w:t xml:space="preserve"/>
      </w:r>
    </w:p>
    <w:p>
      <w:r>
        <w:rPr>
          <w:rFonts w:ascii="Kalpurush" w:cs="Kalpurush" w:eastAsia="Kalpurush" w:hAnsi="Kalpurush"/>
          <w:sz w:val="20"/>
          <w:szCs w:val="20"/>
        </w:rPr>
        <w:t xml:space="preserve">বিবাদীপক্ষের পুরো correction theory-এর ভিত্তি হলো কথিত Misc Case No. 1181 of 1969।</w:t>
      </w:r>
    </w:p>
    <w:p>
      <w:r>
        <w:rPr>
          <w:rFonts w:ascii="Kalpurush" w:cs="Kalpurush" w:eastAsia="Kalpurush" w:hAnsi="Kalpurush"/>
        </w:rPr>
        <w:t xml:space="preserve"/>
      </w:r>
    </w:p>
    <w:p>
      <w:r>
        <w:rPr>
          <w:rFonts w:ascii="Kalpurush" w:cs="Kalpurush" w:eastAsia="Kalpurush" w:hAnsi="Kalpurush"/>
          <w:sz w:val="20"/>
          <w:szCs w:val="20"/>
        </w:rPr>
        <w:t xml:space="preserve">আপীল্যান্টদের বক্তব্য এই নয় যে "best document must always be produced" বা order না থাকলে স্বয়ংক্রিয়ভাবে claim বাতিল। বরং Formulation হলো:</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Respondents rely upon the alleged proceeding as the juridical source of a substantive change; therefore the Court should be able to identify and evaluate the proceeding, its terms, competence and legal effect.</w:t>
      </w:r>
    </w:p>
    <w:p>
      <w:r>
        <w:rPr>
          <w:rFonts w:ascii="Kalpurush" w:cs="Kalpurush" w:eastAsia="Kalpurush" w:hAnsi="Kalpurush"/>
        </w:rPr>
        <w:t xml:space="preserve"/>
      </w:r>
    </w:p>
    <w:p>
      <w:r>
        <w:rPr>
          <w:rFonts w:ascii="Kalpurush" w:cs="Kalpurush" w:eastAsia="Kalpurush" w:hAnsi="Kalpurush"/>
          <w:sz w:val="20"/>
          <w:szCs w:val="20"/>
        </w:rPr>
        <w:t xml:space="preserve">একটি consequential revenue entry-এর অস্তিত্ব, তাহার underlying legal source এবং implementation নির্ভরযোগ্যভাবে প্রতিষ্ঠিত না হইলে, এককভাবে একটি final SA record-এর বিরুদ্ধে substantive displacement প্রতিষ্ঠার জন্য যথেষ্ট নাও হইতে পারে।</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৪. District Record Room বনাম AC Land Volume</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 AC Land volume এবং District Record Room-এর preserved settlement record-এর মধ্যে একটি distinction রয়েছে। </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The two documents emanate from different custodial and administrative contexts. Their evidentiary weight must therefore be assessed by reference to provenance, source, authority and the process by which the disputed entry came into existence.</w:t>
      </w:r>
    </w:p>
    <w:p>
      <w:r>
        <w:rPr>
          <w:rFonts w:ascii="Kalpurush" w:cs="Kalpurush" w:eastAsia="Kalpurush" w:hAnsi="Kalpurush"/>
        </w:rPr>
        <w:t xml:space="preserve"/>
      </w:r>
    </w:p>
    <w:p>
      <w:r>
        <w:rPr>
          <w:rFonts w:ascii="Kalpurush" w:cs="Kalpurush" w:eastAsia="Kalpurush" w:hAnsi="Kalpurush"/>
          <w:sz w:val="20"/>
          <w:szCs w:val="20"/>
        </w:rPr>
        <w:t xml:space="preserve">DW-4 (মোঃ আজম খান) entry-এর handwriting, ink, কারণ বা parent file শনাক্ত বা ব্যাখ্যা করিতে পারেন নাই। Provenance প্রমাণের অভাবে এই entry-এর evidentiary weight ক্ষতিগ্রস্ত হয়।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৫. ১৯৭৫ সালের Register Deed: Material Documentary Inconsistency</w:t>
      </w:r>
    </w:p>
    <w:p>
      <w:r>
        <w:rPr>
          <w:rFonts w:ascii="Kalpurush" w:cs="Kalpurush" w:eastAsia="Kalpurush" w:hAnsi="Kalpurush"/>
        </w:rPr>
        <w:t xml:space="preserve"/>
      </w:r>
    </w:p>
    <w:p>
      <w:r>
        <w:rPr>
          <w:rFonts w:ascii="Kalpurush" w:cs="Kalpurush" w:eastAsia="Kalpurush" w:hAnsi="Kalpurush"/>
          <w:sz w:val="20"/>
          <w:szCs w:val="20"/>
        </w:rPr>
        <w:t xml:space="preserve">Respondents-এর present case যদি হয় যে alleged 1969 correction-এর ফলে SA 238 কার্যত one-dag holding (1259)-এ পরিণত হয়েছিল, তাহলে তাঁদের নিজেদের 1975 সালের registered deed-এ (Exhibit Kha-2) একই khatian-এর অধীনে ছয়টি দাগের (1259, 75, 3, 54, 1252, 1220) বর্ণনা কেন?</w:t>
      </w:r>
    </w:p>
    <w:p>
      <w:r>
        <w:rPr>
          <w:rFonts w:ascii="Kalpurush" w:cs="Kalpurush" w:eastAsia="Kalpurush" w:hAnsi="Kalpurush"/>
        </w:rPr>
        <w:t xml:space="preserve"/>
      </w:r>
    </w:p>
    <w:p>
      <w:r>
        <w:rPr>
          <w:rFonts w:ascii="Kalpurush" w:cs="Kalpurush" w:eastAsia="Kalpurush" w:hAnsi="Kalpurush"/>
          <w:sz w:val="20"/>
          <w:szCs w:val="20"/>
        </w:rPr>
        <w:t xml:space="preserve">এই contradiction নিজে fraud বা estoppel প্রমাণ করে না। </w:t>
      </w:r>
    </w:p>
    <w:p>
      <w:r>
        <w:rPr>
          <w:rFonts w:ascii="Kalpurush" w:cs="Kalpurush" w:eastAsia="Kalpurush" w:hAnsi="Kalpurush"/>
        </w:rPr>
        <w:t xml:space="preserve"/>
      </w:r>
    </w:p>
    <w:p>
      <w:r>
        <w:rPr>
          <w:rFonts w:ascii="Kalpurush" w:cs="Kalpurush" w:eastAsia="Kalpurush" w:hAnsi="Kalpurush"/>
          <w:sz w:val="20"/>
          <w:szCs w:val="20"/>
        </w:rPr>
        <w:t xml:space="preserve">কিন্তু এটি অবশ্যই একটি </w:t>
      </w:r>
      <w:r>
        <w:rPr>
          <w:rFonts w:ascii="Kalpurush" w:cs="Kalpurush" w:eastAsia="Kalpurush" w:hAnsi="Kalpurush"/>
          <w:b/>
          <w:bCs/>
          <w:sz w:val="20"/>
          <w:szCs w:val="20"/>
        </w:rPr>
        <w:t xml:space="preserve">material documentary inconsistency</w:t>
      </w:r>
      <w:r>
        <w:rPr>
          <w:rFonts w:ascii="Kalpurush" w:cs="Kalpurush" w:eastAsia="Kalpurush" w:hAnsi="Kalpurush"/>
          <w:sz w:val="20"/>
          <w:szCs w:val="20"/>
        </w:rPr>
        <w:t xml:space="preserve">, যাহার সন্তোষজনক explanation না পাওয়া পর্যন্ত one-dag correction theory-কে final SA record-এর বিরুদ্ধে নির্ভরযোগ্য rebuttal evidence হিসেবে গ্রহণ করা সতর্কতার দাবি রাখে।</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৬. Evidence Act Section 114(g)</w:t>
      </w:r>
    </w:p>
    <w:p>
      <w:r>
        <w:rPr>
          <w:rFonts w:ascii="Kalpurush" w:cs="Kalpurush" w:eastAsia="Kalpurush" w:hAnsi="Kalpurush"/>
        </w:rPr>
        <w:t xml:space="preserve"/>
      </w:r>
    </w:p>
    <w:p>
      <w:r>
        <w:rPr>
          <w:rFonts w:ascii="Kalpurush" w:cs="Kalpurush" w:eastAsia="Kalpurush" w:hAnsi="Kalpurush"/>
          <w:sz w:val="20"/>
          <w:szCs w:val="20"/>
        </w:rPr>
        <w:t xml:space="preserve">কথিত Misc Case-এর order বা certified record আদালতে উপস্থাপন না করার কারণে Evidence Act-এর Section 114(g) অনুযায়ী, withheld important evidence </w:t>
      </w:r>
      <w:r>
        <w:rPr>
          <w:rFonts w:ascii="Kalpurush" w:cs="Kalpurush" w:eastAsia="Kalpurush" w:hAnsi="Kalpurush"/>
          <w:b/>
          <w:bCs/>
          <w:sz w:val="20"/>
          <w:szCs w:val="20"/>
        </w:rPr>
        <w:t xml:space="preserve">may justify an adverse inference, depending upon the entire evidentiary context.</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৭. প্রতিপক্ষের আচরণের সামগ্রিক মূল্যায়ন: Affirmative Title Claim নাকি Partition Obstruction?</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w:t>
      </w:r>
    </w:p>
    <w:p>
      <w:r>
        <w:rPr>
          <w:rFonts w:ascii="Kalpurush" w:cs="Kalpurush" w:eastAsia="Kalpurush" w:hAnsi="Kalpurush"/>
        </w:rPr>
        <w:t xml:space="preserve"/>
      </w:r>
    </w:p>
    <w:p>
      <w:r>
        <w:rPr>
          <w:rFonts w:ascii="Kalpurush" w:cs="Kalpurush" w:eastAsia="Kalpurush" w:hAnsi="Kalpurush"/>
          <w:sz w:val="20"/>
          <w:szCs w:val="20"/>
        </w:rPr>
        <w:t xml:space="preserve">আপীল্যান্টগণ প্রতিপক্ষের উপর সরাসরি fraud বা dishonest intention-এর কোনো চূড়ান্ত অভিযোগ আরোপ করিতেছেন না। বিচারিক প্রমাণের মূল্যায়নে পক্ষগণের documentary conduct, pleadings এবং litigation conduct অপ্রাসঙ্গিক নহে। </w:t>
      </w:r>
    </w:p>
    <w:p>
      <w:r>
        <w:rPr>
          <w:rFonts w:ascii="Kalpurush" w:cs="Kalpurush" w:eastAsia="Kalpurush" w:hAnsi="Kalpurush"/>
        </w:rPr>
        <w:t xml:space="preserve"/>
      </w:r>
    </w:p>
    <w:p>
      <w:r>
        <w:rPr>
          <w:rFonts w:ascii="Kalpurush" w:cs="Kalpurush" w:eastAsia="Kalpurush" w:hAnsi="Kalpurush"/>
          <w:sz w:val="20"/>
          <w:szCs w:val="20"/>
        </w:rPr>
        <w:t xml:space="preserve">এখানে প্রশ্নটি একটি নির্দিষ্ট ব্যক্তির মনের অভিপ্রায় অনুমান করা নয়; বরং আদালতের সামনে থাকা বিভিন্ন circumstance একত্রে বিচার করিয়া প্রতিপক্ষের defence কতটা bona fide, internally consistent এবং evidence-supported—তাহা নির্ধারণ করা।</w:t>
      </w:r>
    </w:p>
    <w:p>
      <w:r>
        <w:rPr>
          <w:rFonts w:ascii="Kalpurush" w:cs="Kalpurush" w:eastAsia="Kalpurush" w:hAnsi="Kalpurush"/>
        </w:rPr>
        <w:t xml:space="preserve"/>
      </w:r>
    </w:p>
    <w:p>
      <w:r>
        <w:rPr>
          <w:rFonts w:ascii="Kalpurush" w:cs="Kalpurush" w:eastAsia="Kalpurush" w:hAnsi="Kalpurush"/>
          <w:sz w:val="20"/>
          <w:szCs w:val="20"/>
        </w:rPr>
        <w:t xml:space="preserve">যে পক্ষ সত্যিকার অর্থে নিজেকে competing co-sharer হিসেবে দাবি করে, তার স্বাভাবিক litigation position হতে পারে নিজের নির্দিষ্ট share, entitlement বা alternative allotment দাবি করা। কিন্তু record দেখায় যে contesting respondents:</w:t>
      </w:r>
    </w:p>
    <w:p>
      <w:pPr>
        <w:pStyle w:val="ListParagraph"/>
        <w:numPr>
          <w:ilvl w:val="0"/>
          <w:numId w:val="1"/>
        </w:numPr>
      </w:pPr>
      <w:r>
        <w:rPr>
          <w:rFonts w:ascii="Kalpurush" w:cs="Kalpurush" w:eastAsia="Kalpurush" w:hAnsi="Kalpurush"/>
          <w:sz w:val="20"/>
          <w:szCs w:val="20"/>
        </w:rPr>
        <w:t xml:space="preserve">  নিজেদের কোনো নির্দিষ্ট saham প্রতিষ্ঠার জন্য substantive relief চাননি;</w:t>
      </w:r>
    </w:p>
    <w:p>
      <w:pPr>
        <w:pStyle w:val="ListParagraph"/>
        <w:numPr>
          <w:ilvl w:val="0"/>
          <w:numId w:val="1"/>
        </w:numPr>
      </w:pPr>
      <w:r>
        <w:rPr>
          <w:rFonts w:ascii="Kalpurush" w:cs="Kalpurush" w:eastAsia="Kalpurush" w:hAnsi="Kalpurush"/>
          <w:sz w:val="20"/>
          <w:szCs w:val="20"/>
        </w:rPr>
        <w:t xml:space="preserve">  partition কীভাবে তাঁদের share-এ effect করবে সে বিষয়ে alternative case দেননি;</w:t>
      </w:r>
    </w:p>
    <w:p>
      <w:pPr>
        <w:pStyle w:val="ListParagraph"/>
        <w:numPr>
          <w:ilvl w:val="0"/>
          <w:numId w:val="1"/>
        </w:numPr>
      </w:pPr>
      <w:r>
        <w:rPr>
          <w:rFonts w:ascii="Kalpurush" w:cs="Kalpurush" w:eastAsia="Kalpurush" w:hAnsi="Kalpurush"/>
          <w:sz w:val="20"/>
          <w:szCs w:val="20"/>
        </w:rPr>
        <w:t xml:space="preserve">  বরং প্রধানত সম্পূর্ণ partition suit dismissal-এর দিকে জোর দিয়েছেন;</w:t>
      </w:r>
    </w:p>
    <w:p>
      <w:pPr>
        <w:pStyle w:val="ListParagraph"/>
        <w:numPr>
          <w:ilvl w:val="0"/>
          <w:numId w:val="1"/>
        </w:numPr>
      </w:pPr>
      <w:r>
        <w:rPr>
          <w:rFonts w:ascii="Kalpurush" w:cs="Kalpurush" w:eastAsia="Kalpurush" w:hAnsi="Kalpurush"/>
          <w:sz w:val="20"/>
          <w:szCs w:val="20"/>
        </w:rPr>
        <w:t xml:space="preserve">  একই সঙ্গে যে correction theory-এর উপর dismissal দাবি করছেন, তার foundational primary documents উপস্থাপন করতে পারেননি;</w:t>
      </w:r>
    </w:p>
    <w:p>
      <w:r>
        <w:rPr>
          <w:rFonts w:ascii="Kalpurush" w:cs="Kalpurush" w:eastAsia="Kalpurush" w:hAnsi="Kalpurush"/>
        </w:rPr>
        <w:t xml:space="preserve"/>
      </w:r>
    </w:p>
    <w:p>
      <w:r>
        <w:rPr>
          <w:rFonts w:ascii="Kalpurush" w:cs="Kalpurush" w:eastAsia="Kalpurush" w:hAnsi="Kalpurush"/>
          <w:sz w:val="20"/>
          <w:szCs w:val="20"/>
        </w:rPr>
        <w:t xml:space="preserve">Missing documents, inconsistent documents (1975 deed), এবং obstructive outcome—এই তিনটি circumstance একত্রে কোনো automatic finding of fraud সৃষ্টি করে না; কিন্তু এগুলো trial court-এর কাছে alleged correction theory-এর evidentiary reliability আরও কঠোরভাবে পরীক্ষা করার দাবি রাখে।</w:t>
      </w:r>
    </w:p>
    <w:p>
      <w:r>
        <w:rPr>
          <w:rFonts w:ascii="Kalpurush" w:cs="Kalpurush" w:eastAsia="Kalpurush" w:hAnsi="Kalpurush"/>
        </w:rPr>
        <w:t xml:space="preserve"/>
      </w:r>
    </w:p>
    <w:p>
      <w:r>
        <w:rPr>
          <w:rFonts w:ascii="Kalpurush" w:cs="Kalpurush" w:eastAsia="Kalpurush" w:hAnsi="Kalpurush"/>
          <w:sz w:val="20"/>
          <w:szCs w:val="20"/>
        </w:rPr>
        <w:t xml:space="preserve">আদালতকে এই প্রশ্নটি বিবেচনা করিতে হইবে:</w:t>
      </w:r>
    </w:p>
    <w:p>
      <w:pPr>
        <w:ind w:left="720"/>
      </w:pPr>
      <w:r>
        <w:rPr>
          <w:rFonts w:ascii="Kalpurush" w:cs="Kalpurush" w:eastAsia="Kalpurush" w:hAnsi="Kalpurush"/>
          <w:b/>
          <w:bCs/>
          <w:i/>
          <w:iCs/>
          <w:sz w:val="20"/>
          <w:szCs w:val="20"/>
        </w:rPr>
        <w:t xml:space="preserve">এই cumulative circumstances কি একটি bona fide competing title claim-এর সঙ্গে সামঞ্জস্যপূর্ণ, নাকি এগুলো এমন একটি defence নির্দেশ করে যার practical effect কেবল partition proceeding ব্যর্থ করা?</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৮. ন্যায়বিচারের প্রশ্ন</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w:t>
      </w:r>
    </w:p>
    <w:p>
      <w:r>
        <w:rPr>
          <w:rFonts w:ascii="Kalpurush" w:cs="Kalpurush" w:eastAsia="Kalpurush" w:hAnsi="Kalpurush"/>
        </w:rPr>
        <w:t xml:space="preserve"/>
      </w:r>
    </w:p>
    <w:p>
      <w:r>
        <w:rPr>
          <w:rFonts w:ascii="Kalpurush" w:cs="Kalpurush" w:eastAsia="Kalpurush" w:hAnsi="Kalpurush"/>
          <w:sz w:val="20"/>
          <w:szCs w:val="20"/>
        </w:rPr>
        <w:t xml:space="preserve">আপীল্যান্টগণ এমন কোনো extraordinary relief দাবি করিতেছেন না যাহা কেবল তাঁদের পছন্দের record-এর ভিত্তিতে প্রদান করিতে হইবে। </w:t>
      </w:r>
    </w:p>
    <w:p>
      <w:r>
        <w:rPr>
          <w:rFonts w:ascii="Kalpurush" w:cs="Kalpurush" w:eastAsia="Kalpurush" w:hAnsi="Kalpurush"/>
        </w:rPr>
        <w:t xml:space="preserve"/>
      </w:r>
    </w:p>
    <w:p>
      <w:r>
        <w:rPr>
          <w:rFonts w:ascii="Kalpurush" w:cs="Kalpurush" w:eastAsia="Kalpurush" w:hAnsi="Kalpurush"/>
          <w:sz w:val="20"/>
          <w:szCs w:val="20"/>
        </w:rPr>
        <w:t xml:space="preserve">তাঁহাদের বিনীত বক্তব্য:</w:t>
      </w:r>
    </w:p>
    <w:p>
      <w:r>
        <w:rPr>
          <w:rFonts w:ascii="Kalpurush" w:cs="Kalpurush" w:eastAsia="Kalpurush" w:hAnsi="Kalpurush"/>
          <w:sz w:val="20"/>
          <w:szCs w:val="20"/>
        </w:rPr>
        <w:t xml:space="preserve">একটি final SA record-এর বিরুদ্ধে নির্দিষ্ট substantive displacement দাবি করা হয়েছে; সেই displacement-এর legal source এবং evidentiary foundation নির্ভরযোগ্যভাবে প্রমাণিত না হলে, কেবল সেই unproved theory-এর কারণে প্রকৃত co-sharers-দের partition remedy সম্পূর্ণরূপে বন্ধ হওয়া ন্যায়সঙ্গত হবে না।</w:t>
      </w:r>
    </w:p>
    <w:p>
      <w:r>
        <w:rPr>
          <w:rFonts w:ascii="Kalpurush" w:cs="Kalpurush" w:eastAsia="Kalpurush" w:hAnsi="Kalpurush"/>
        </w:rPr>
        <w:t xml:space="preserve"/>
      </w:r>
    </w:p>
    <w:p>
      <w:r>
        <w:rPr>
          <w:rFonts w:ascii="Kalpurush" w:cs="Kalpurush" w:eastAsia="Kalpurush" w:hAnsi="Kalpurush"/>
          <w:sz w:val="20"/>
          <w:szCs w:val="20"/>
        </w:rPr>
        <w:t xml:space="preserve">ন্যায়বিচারের লক্ষ্য কেবল একটি মামলা খারিজ করা নয়; বরং প্রমাণিত স্বত্বের প্রকৃত অংশীদারদের মধ্যে আইনানুগ অধিকার নির্ধারণ করা।</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FINAL SUBMISSION</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 </w:t>
      </w:r>
    </w:p>
    <w:p>
      <w:r>
        <w:rPr>
          <w:rFonts w:ascii="Kalpurush" w:cs="Kalpurush" w:eastAsia="Kalpurush" w:hAnsi="Kalpurush"/>
        </w:rPr>
        <w:t xml:space="preserve"/>
      </w:r>
    </w:p>
    <w:p>
      <w:r>
        <w:rPr>
          <w:rFonts w:ascii="Kalpurush" w:cs="Kalpurush" w:eastAsia="Kalpurush" w:hAnsi="Kalpurush"/>
          <w:sz w:val="20"/>
          <w:szCs w:val="20"/>
        </w:rPr>
        <w:t xml:space="preserve">আপীল্যান্টপক্ষ SA ২৩৮-কে অখণ্ডনীয় record বলিতেছে না। আপীল্যান্টদের নিবেদন আরও সীমিত—যে পক্ষ এই particular record-এর বিরুদ্ধে একটি specific substantive correction এবং displacement-এর উপর নির্ভর করছে, সেই পক্ষকে সেই corrective event-এর existence, legal source, authority, contents এবং implementation-এর নির্ভরযোগ্য ভিত্তি দেখাইতে হইবে।</w:t>
      </w:r>
    </w:p>
    <w:p>
      <w:r>
        <w:rPr>
          <w:rFonts w:ascii="Kalpurush" w:cs="Kalpurush" w:eastAsia="Kalpurush" w:hAnsi="Kalpurush"/>
        </w:rPr>
        <w:t xml:space="preserve"/>
      </w:r>
    </w:p>
    <w:p>
      <w:r>
        <w:rPr>
          <w:rFonts w:ascii="Kalpurush" w:cs="Kalpurush" w:eastAsia="Kalpurush" w:hAnsi="Kalpurush"/>
          <w:sz w:val="20"/>
          <w:szCs w:val="20"/>
        </w:rPr>
        <w:t xml:space="preserve">এখানে আমরা একটি record-এর বিরুদ্ধে আরেকটি record মাত্র দেখিতেছি না; আমরা একটি প্রমাণিত final record-এর বিরুদ্ধে একটি alleged historical event-এর দাবি দেখিতেছি। অথচ সেই event-এর foundational documentary chain অসম্পূর্ণ, তার alleged consequence-এর সঙ্গে respondents-এর নিজস্ব 1975 সালের registered deed-এর material inconsistency আছে, এবং বর্তমান District Record Room-এর record-ও সেই alleged substantive change-এর সঙ্গে reconcile করা হয়নি।</w:t>
      </w:r>
    </w:p>
    <w:p>
      <w:r>
        <w:rPr>
          <w:rFonts w:ascii="Kalpurush" w:cs="Kalpurush" w:eastAsia="Kalpurush" w:hAnsi="Kalpurush"/>
        </w:rPr>
        <w:t xml:space="preserve"/>
      </w:r>
    </w:p>
    <w:p>
      <w:r>
        <w:rPr>
          <w:rFonts w:ascii="Kalpurush" w:cs="Kalpurush" w:eastAsia="Kalpurush" w:hAnsi="Kalpurush"/>
          <w:sz w:val="20"/>
          <w:szCs w:val="20"/>
        </w:rPr>
        <w:t xml:space="preserve">এমন অবস্থায় আদালতের কাছে প্রশ্নটি হওয়া উচিত নয়—“SA 238 ভুল হতে পারে কি?” প্রশ্নটি হওয়া উচিত—“এই particular SA 238 কীভাবে, কখন এবং কোন নির্ভরযোগ্য আইনগত প্রক্রিয়ায় displaced হয়েছিল?”</w:t>
      </w:r>
    </w:p>
    <w:p>
      <w:r>
        <w:rPr>
          <w:rFonts w:ascii="Kalpurush" w:cs="Kalpurush" w:eastAsia="Kalpurush" w:hAnsi="Kalpurush"/>
        </w:rPr>
        <w:t xml:space="preserve"/>
      </w:r>
    </w:p>
    <w:p>
      <w:r>
        <w:rPr>
          <w:rFonts w:ascii="Kalpurush" w:cs="Kalpurush" w:eastAsia="Kalpurush" w:hAnsi="Kalpurush"/>
          <w:sz w:val="20"/>
          <w:szCs w:val="20"/>
        </w:rPr>
        <w:t xml:space="preserve">আমাদের বিনীত submission—সেই bridge প্রমাণিত হয় নাই। আর যখন সেই bridge প্রমাণিত হয় নাই, তখন কেবল একটি unexplained consequential volume entry-এর উপর দাঁড় করিয়ে প্রকৃত co-sharers-এর partition remedy সম্পূর্ণভাবে নাকচ করা ন্যায়সংগত হবে না।</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প্রার্থিত প্রতিকার</w:t>
      </w:r>
    </w:p>
    <w:p>
      <w:r>
        <w:rPr>
          <w:rFonts w:ascii="Kalpurush" w:cs="Kalpurush" w:eastAsia="Kalpurush" w:hAnsi="Kalpurush"/>
        </w:rPr>
        <w:t xml:space="preserve"/>
      </w:r>
    </w:p>
    <w:p>
      <w:r>
        <w:rPr>
          <w:rFonts w:ascii="Kalpurush" w:cs="Kalpurush" w:eastAsia="Kalpurush" w:hAnsi="Kalpurush"/>
          <w:sz w:val="20"/>
          <w:szCs w:val="20"/>
        </w:rPr>
        <w:t xml:space="preserve">অতএব মহামান্য আদালতের নিকট বিনীত প্রার্থনা—</w:t>
      </w:r>
    </w:p>
    <w:p>
      <w:r>
        <w:rPr>
          <w:rFonts w:ascii="Kalpurush" w:cs="Kalpurush" w:eastAsia="Kalpurush" w:hAnsi="Kalpurush"/>
        </w:rPr>
        <w:t xml:space="preserve"/>
      </w:r>
    </w:p>
    <w:p>
      <w:r>
        <w:rPr>
          <w:rFonts w:ascii="Kalpurush" w:cs="Kalpurush" w:eastAsia="Kalpurush" w:hAnsi="Kalpurush"/>
          <w:b/>
          <w:bCs/>
          <w:sz w:val="20"/>
          <w:szCs w:val="20"/>
        </w:rPr>
        <w:t xml:space="preserve">(ক)</w:t>
      </w:r>
      <w:r>
        <w:rPr>
          <w:rFonts w:ascii="Kalpurush" w:cs="Kalpurush" w:eastAsia="Kalpurush" w:hAnsi="Kalpurush"/>
          <w:sz w:val="20"/>
          <w:szCs w:val="20"/>
        </w:rPr>
        <w:t xml:space="preserve"> বিজ্ঞ নিম্ন আদালতের ০৫/০৪/২০২৬ তারিখের judgment এবং ০৯/০৪/২০২৬ তারিখের decree বাতিল ও রহিত করা হউক;</w:t>
      </w:r>
    </w:p>
    <w:p>
      <w:r>
        <w:rPr>
          <w:rFonts w:ascii="Kalpurush" w:cs="Kalpurush" w:eastAsia="Kalpurush" w:hAnsi="Kalpurush"/>
        </w:rPr>
        <w:t xml:space="preserve"/>
      </w:r>
    </w:p>
    <w:p>
      <w:r>
        <w:rPr>
          <w:rFonts w:ascii="Kalpurush" w:cs="Kalpurush" w:eastAsia="Kalpurush" w:hAnsi="Kalpurush"/>
          <w:b/>
          <w:bCs/>
          <w:sz w:val="20"/>
          <w:szCs w:val="20"/>
        </w:rPr>
        <w:t xml:space="preserve">(খ)</w:t>
      </w:r>
      <w:r>
        <w:rPr>
          <w:rFonts w:ascii="Kalpurush" w:cs="Kalpurush" w:eastAsia="Kalpurush" w:hAnsi="Kalpurush"/>
          <w:sz w:val="20"/>
          <w:szCs w:val="20"/>
        </w:rPr>
        <w:t xml:space="preserve"> রেকর্ডে প্রমাণিত SA ২৩৮ নং খতিয়ানের ভিত্তিতে আপীল্যান্টদের প্রাপ্য অংশ নির্ধারণপূর্বক বাটোয়ারার preliminary decree প্রদান করা হউক;</w:t>
      </w:r>
    </w:p>
    <w:p>
      <w:r>
        <w:rPr>
          <w:rFonts w:ascii="Kalpurush" w:cs="Kalpurush" w:eastAsia="Kalpurush" w:hAnsi="Kalpurush"/>
        </w:rPr>
        <w:t xml:space="preserve"/>
      </w:r>
    </w:p>
    <w:p>
      <w:r>
        <w:rPr>
          <w:rFonts w:ascii="Kalpurush" w:cs="Kalpurush" w:eastAsia="Kalpurush" w:hAnsi="Kalpurush"/>
          <w:b/>
          <w:bCs/>
          <w:sz w:val="20"/>
          <w:szCs w:val="20"/>
        </w:rPr>
        <w:t xml:space="preserve">(গ)</w:t>
      </w:r>
      <w:r>
        <w:rPr>
          <w:rFonts w:ascii="Kalpurush" w:cs="Kalpurush" w:eastAsia="Kalpurush" w:hAnsi="Kalpurush"/>
          <w:sz w:val="20"/>
          <w:szCs w:val="20"/>
        </w:rPr>
        <w:t xml:space="preserve"> ন্যায়বিচারের স্বার্থে আপীলটি খরচসহ মঞ্জুর করা হউক।</w:t>
      </w:r>
    </w:p>
    <w:p>
      <w:r>
        <w:rPr>
          <w:rFonts w:ascii="Kalpurush" w:cs="Kalpurush" w:eastAsia="Kalpurush" w:hAnsi="Kalpurush"/>
        </w:rPr>
        <w:t xml:space="preserve"/>
      </w:r>
    </w:p>
    <w:p>
      <w:r>
        <w:rPr>
          <w:rFonts w:ascii="Kalpurush" w:cs="Kalpurush" w:eastAsia="Kalpurush" w:hAnsi="Kalpurush"/>
          <w:b/>
          <w:bCs/>
          <w:sz w:val="20"/>
          <w:szCs w:val="20"/>
        </w:rPr>
        <w:t xml:space="preserve">সবিনয় নিবেদন ইতি।</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 Counsel's Note: Potential Threshold Issue (Jurisdiction)</w:t>
      </w:r>
    </w:p>
    <w:p>
      <w:pPr>
        <w:pStyle w:val="ListParagraph"/>
        <w:numPr>
          <w:ilvl w:val="0"/>
          <w:numId w:val="1"/>
        </w:numPr>
      </w:pPr>
      <w:r>
        <w:rPr>
          <w:rFonts w:ascii="Kalpurush" w:cs="Kalpurush" w:eastAsia="Kalpurush" w:hAnsi="Kalpurush"/>
          <w:sz w:val="20"/>
          <w:szCs w:val="20"/>
        </w:rPr>
        <w:t xml:space="preserve">  </w:t>
      </w:r>
      <w:r>
        <w:rPr>
          <w:rFonts w:ascii="Kalpurush" w:cs="Kalpurush" w:eastAsia="Kalpurush" w:hAnsi="Kalpurush"/>
          <w:b/>
          <w:bCs/>
          <w:sz w:val="20"/>
          <w:szCs w:val="20"/>
        </w:rPr>
        <w:t xml:space="preserve">SAT Act Sections 145A/145F:</w:t>
      </w:r>
      <w:r>
        <w:rPr>
          <w:rFonts w:ascii="Kalpurush" w:cs="Kalpurush" w:eastAsia="Kalpurush" w:hAnsi="Kalpurush"/>
          <w:sz w:val="20"/>
          <w:szCs w:val="20"/>
        </w:rPr>
        <w:t xml:space="preserve"> SA 238 is established as the </w:t>
      </w:r>
      <w:r>
        <w:rPr>
          <w:rFonts w:ascii="Kalpurush" w:cs="Kalpurush" w:eastAsia="Kalpurush" w:hAnsi="Kalpurush"/>
          <w:b/>
          <w:bCs/>
          <w:sz w:val="20"/>
          <w:szCs w:val="20"/>
        </w:rPr>
        <w:t xml:space="preserve">last revised record-of-rights</w:t>
      </w:r>
      <w:r>
        <w:rPr>
          <w:rFonts w:ascii="Kalpurush" w:cs="Kalpurush" w:eastAsia="Kalpurush" w:hAnsi="Kalpurush"/>
          <w:sz w:val="20"/>
          <w:szCs w:val="20"/>
        </w:rPr>
        <w:t xml:space="preserve"> in the area. Section 145A directs suits "arising out of the final publication of the last revised record-of-rights" to the Land Survey Tribunal, and Section 145F bars Civil Court jurisdiction where the Tribunal is established.</w:t>
      </w:r>
    </w:p>
    <w:p>
      <w:pPr>
        <w:pStyle w:val="ListParagraph"/>
        <w:numPr>
          <w:ilvl w:val="0"/>
          <w:numId w:val="1"/>
        </w:numPr>
      </w:pPr>
      <w:r>
        <w:rPr>
          <w:rFonts w:ascii="Kalpurush" w:cs="Kalpurush" w:eastAsia="Kalpurush" w:hAnsi="Kalpurush"/>
          <w:sz w:val="20"/>
          <w:szCs w:val="20"/>
        </w:rPr>
        <w:t xml:space="preserve">  Counsel must independently audit the plaint’s specific relief, cause of action, and institution date. If the suit *incidentally* or *directly* adjudicates the correctness of this last revised ROR, this jurisdictional bar could become a decisive threshold issue before reaching the merits. Therefore, while arguing the merits as presented above, Counsel must be prepared for this jurisdictional dimension.</w:t>
      </w:r>
    </w:p>
    <w:p>
      <w:r>
        <w:rPr>
          <w:rFonts w:ascii="Kalpurush" w:cs="Kalpurush" w:eastAsia="Kalpurush" w:hAnsi="Kalpurush"/>
        </w:rPr>
        <w:t xml:space="preserve"/>
      </w:r>
    </w:p>
    <w:p>
      <w:r>
        <w:rPr>
          <w:rFonts w:ascii="Kalpurush" w:cs="Kalpurush" w:eastAsia="Kalpurush" w:hAnsi="Kalpurush"/>
        </w:rPr>
        <w:t xml:space="preserve"/>
      </w:r>
    </w:p>
    <w:sectPr>
      <w:pgSz w:w="12240" w:h="2016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Kalpurush" w:cs="Kalpurush" w:eastAsia="Kalpurush" w:hAnsi="Kalpurush"/>
        <w:sz w:val="20"/>
        <w:szCs w:val="20"/>
      </w:rPr>
    </w:rPrDefault>
    <w:pPrDefault>
      <w:pPr>
        <w:spacing w:after="0" w:before="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2026-08-17T12:44:50.470Z</dcterms:created>
  <dcterms:modified xsi:type="dcterms:W3CDTF">2026-08-17T12:44:50.475Z</dcterms:modified>
</cp:coreProperties>
</file>

<file path=docProps/custom.xml><?xml version="1.0" encoding="utf-8"?>
<Properties xmlns="http://schemas.openxmlformats.org/officeDocument/2006/custom-properties" xmlns:vt="http://schemas.openxmlformats.org/officeDocument/2006/docPropsVTypes"/>
</file>