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rFonts w:ascii="Kalpurush" w:cs="Kalpurush" w:eastAsia="Kalpurush" w:hAnsi="Kalpurush"/>
          <w:sz w:val="20"/>
          <w:szCs w:val="20"/>
        </w:rPr>
        <w:t xml:space="preserve">জেলা জজ আদালত, টাঙ্গাইল</w:t>
      </w:r>
    </w:p>
    <w:p>
      <w:pPr>
        <w:pStyle w:val="Heading2"/>
      </w:pPr>
      <w:r>
        <w:rPr>
          <w:rFonts w:ascii="Kalpurush" w:cs="Kalpurush" w:eastAsia="Kalpurush" w:hAnsi="Kalpurush"/>
          <w:sz w:val="20"/>
          <w:szCs w:val="20"/>
        </w:rPr>
        <w:t xml:space="preserve">আপীল মামলা নং ৩৮/২০২৬ (বাটোয়ারা মামলা নং ৬৬/২০১৬)</w:t>
      </w:r>
    </w:p>
    <w:p>
      <w:r>
        <w:rPr>
          <w:rFonts w:ascii="Kalpurush" w:cs="Kalpurush" w:eastAsia="Kalpurush" w:hAnsi="Kalpurush"/>
          <w:b/>
          <w:bCs/>
          <w:sz w:val="20"/>
          <w:szCs w:val="20"/>
        </w:rPr>
        <w:t xml:space="preserve">হাতেম আলী ও অন্যান্য (আপীল্যান্ট/বাদী) বনাম আলহাজ উদ্দিন ও অন্যান্য (রেসপন্ডেন্ট/বিবাদী)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1"/>
        <w:jc w:val="center"/>
      </w:pPr>
      <w:r>
        <w:rPr>
          <w:rFonts w:ascii="Kalpurush" w:cs="Kalpurush" w:eastAsia="Kalpurush" w:hAnsi="Kalpurush"/>
          <w:sz w:val="20"/>
          <w:szCs w:val="20"/>
        </w:rPr>
        <w:t xml:space="preserve">আপীল্যান্টপক্ষের সারসংক্ষেপ (Summary)</w:t>
      </w:r>
    </w:p>
    <w:p>
      <w:r>
        <w:rPr>
          <w:rFonts w:ascii="Kalpurush" w:cs="Kalpurush" w:eastAsia="Kalpurush" w:hAnsi="Kalpurush"/>
          <w:b/>
          <w:bCs/>
          <w:sz w:val="20"/>
          <w:szCs w:val="20"/>
        </w:rPr>
        <w:t xml:space="preserve">Version 93 — The Three-Layer Framework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jc w:val="center"/>
      </w:pPr>
      <w:r>
        <w:t xml:space="preserve">--------------------------------------------------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3"/>
      </w:pPr>
      <w:r>
        <w:rPr>
          <w:rFonts w:ascii="Kalpurush" w:cs="Kalpurush" w:eastAsia="Kalpurush" w:hAnsi="Kalpurush"/>
          <w:sz w:val="20"/>
          <w:szCs w:val="20"/>
        </w:rPr>
        <w:t xml:space="preserve">মূল বিচার্য বিষয়</w:t>
      </w:r>
    </w:p>
    <w:p>
      <w:r>
        <w:rPr>
          <w:rFonts w:ascii="Kalpurush" w:cs="Kalpurush" w:eastAsia="Kalpurush" w:hAnsi="Kalpurush"/>
          <w:sz w:val="20"/>
          <w:szCs w:val="20"/>
        </w:rPr>
        <w:t xml:space="preserve">আপীল্যান্টপক্ষ SA 238-কে অখণ্ডনীয় record বলছে না। প্রশ্ন হলো: যে পক্ষ final record-এর বিরুদ্ধে একটি specific substantive correction এবং displacement-এর উপর নির্ভর করছে, তারা কি সেই corrective event-এর existence, legal source, authority এবং implementation প্রমাণ করতে পেরেছে?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3"/>
      </w:pPr>
      <w:r>
        <w:rPr>
          <w:rFonts w:ascii="Kalpurush" w:cs="Kalpurush" w:eastAsia="Kalpurush" w:hAnsi="Kalpurush"/>
          <w:sz w:val="20"/>
          <w:szCs w:val="20"/>
        </w:rPr>
        <w:t xml:space="preserve">আপীল্যান্টপক্ষের ৩-স্তরের যুক্তিকাঠামো (The Three-Layer Test)</w:t>
      </w:r>
    </w:p>
    <w:p>
      <w:r>
        <w:rPr>
          <w:rFonts w:ascii="Kalpurush" w:cs="Kalpurush" w:eastAsia="Kalpurush" w:hAnsi="Kalpurush"/>
          <w:b/>
          <w:bCs/>
          <w:sz w:val="20"/>
          <w:szCs w:val="20"/>
        </w:rPr>
        <w:t xml:space="preserve">Layer A — The Record Presumption:</w:t>
      </w:r>
      <w:r>
        <w:rPr>
          <w:rFonts w:ascii="Kalpurush" w:cs="Kalpurush" w:eastAsia="Kalpurush" w:hAnsi="Kalpurush"/>
          <w:sz w:val="20"/>
          <w:szCs w:val="20"/>
        </w:rPr>
        <w:t xml:space="preserve"> SA 238-এ Abdul Ali 16 anna raiyat হিসেবে recorded। SAT Act 144A অনুযায়ী এটি প্রমাণের প্রাথমিক স্তর নির্ধারণ করে (56 DLR (AD) 53)।</w:t>
      </w:r>
    </w:p>
    <w:p>
      <w:r>
        <w:rPr>
          <w:rFonts w:ascii="Kalpurush" w:cs="Kalpurush" w:eastAsia="Kalpurush" w:hAnsi="Kalpurush"/>
          <w:b/>
          <w:bCs/>
          <w:sz w:val="20"/>
          <w:szCs w:val="20"/>
        </w:rPr>
        <w:t xml:space="preserve">Layer B — Displacement Theory:</w:t>
      </w:r>
      <w:r>
        <w:rPr>
          <w:rFonts w:ascii="Kalpurush" w:cs="Kalpurush" w:eastAsia="Kalpurush" w:hAnsi="Kalpurush"/>
          <w:sz w:val="20"/>
          <w:szCs w:val="20"/>
        </w:rPr>
        <w:t xml:space="preserve"> Respondents-এর theory (Abdul Karim → Sonabhanu → Misc 1181/1969 correction → AC volume) প্রমাণসাপেক্ষ।</w:t>
      </w:r>
    </w:p>
    <w:p>
      <w:r>
        <w:rPr>
          <w:rFonts w:ascii="Kalpurush" w:cs="Kalpurush" w:eastAsia="Kalpurush" w:hAnsi="Kalpurush"/>
          <w:b/>
          <w:bCs/>
          <w:sz w:val="20"/>
          <w:szCs w:val="20"/>
        </w:rPr>
        <w:t xml:space="preserve">Layer C — Litigation Conduct:</w:t>
      </w:r>
      <w:r>
        <w:rPr>
          <w:rFonts w:ascii="Kalpurush" w:cs="Kalpurush" w:eastAsia="Kalpurush" w:hAnsi="Kalpurush"/>
          <w:sz w:val="20"/>
          <w:szCs w:val="20"/>
        </w:rPr>
        <w:t xml:space="preserve"> Foundational documents-এর অনুপস্থিতি এবং respondents-এর litigation conduct (dismissal-এর দিকে জোর দেওয়া) Court-এর তীক্ষ্ণ scrutiny দাবি করে।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3"/>
      </w:pPr>
      <w:r>
        <w:rPr>
          <w:rFonts w:ascii="Kalpurush" w:cs="Kalpurush" w:eastAsia="Kalpurush" w:hAnsi="Kalpurush"/>
          <w:sz w:val="20"/>
          <w:szCs w:val="20"/>
        </w:rPr>
        <w:t xml:space="preserve">১. Comparative Documentary Test ও Inheritance</w:t>
      </w:r>
    </w:p>
    <w:p>
      <w:pPr>
        <w:ind w:left="720"/>
      </w:pPr>
      <w:r>
        <w:rPr>
          <w:rFonts w:ascii="Kalpurush" w:cs="Kalpurush" w:eastAsia="Kalpurush" w:hAnsi="Kalpurush"/>
          <w:b/>
          <w:bCs/>
          <w:i/>
          <w:iCs/>
          <w:sz w:val="20"/>
          <w:szCs w:val="20"/>
        </w:rPr>
        <w:t xml:space="preserve">The question is not whether Sonabhanu was an heir of Abdul Karim. The question is whether this particular SA 238 holding was Abdul Karim’s holding.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সোনাভানু অন্য খতিয়ানে উত্তরাধিকার পেলেও SA 238-এর নির্দিষ্ট holding-এ Abdul Ali-র একক record-এর বিরুদ্ধে documentary bridge কোথায়? Genealogy alone cannot substitute for identification of the disputed holding.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3"/>
      </w:pPr>
      <w:r>
        <w:rPr>
          <w:rFonts w:ascii="Kalpurush" w:cs="Kalpurush" w:eastAsia="Kalpurush" w:hAnsi="Kalpurush"/>
          <w:sz w:val="20"/>
          <w:szCs w:val="20"/>
        </w:rPr>
        <w:t xml:space="preserve">২. Misc Case 1181/1969-এর অনুপস্থিতি</w:t>
      </w:r>
    </w:p>
    <w:p>
      <w:r>
        <w:rPr>
          <w:rFonts w:ascii="Kalpurush" w:cs="Kalpurush" w:eastAsia="Kalpurush" w:hAnsi="Kalpurush"/>
          <w:sz w:val="20"/>
          <w:szCs w:val="20"/>
        </w:rPr>
        <w:t xml:space="preserve">Respondents এই proceeding-কে substantive change-এর source হিসেবে দাবি করছে। একটি consequential revenue entry-এর অস্তিত্ব, তাহার underlying legal source (parent order) এবং implementation নির্ভরযোগ্যভাবে প্রতিষ্ঠিত না হইলে, displacement প্রমাণের জন্য তা যথেষ্ট নয়।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3"/>
      </w:pPr>
      <w:r>
        <w:rPr>
          <w:rFonts w:ascii="Kalpurush" w:cs="Kalpurush" w:eastAsia="Kalpurush" w:hAnsi="Kalpurush"/>
          <w:sz w:val="20"/>
          <w:szCs w:val="20"/>
        </w:rPr>
        <w:t xml:space="preserve">৩. AC Land Volume বনাম District Record Room</w:t>
      </w:r>
    </w:p>
    <w:p>
      <w:r>
        <w:rPr>
          <w:rFonts w:ascii="Kalpurush" w:cs="Kalpurush" w:eastAsia="Kalpurush" w:hAnsi="Kalpurush"/>
          <w:sz w:val="20"/>
          <w:szCs w:val="20"/>
        </w:rPr>
        <w:t xml:space="preserve">The two documents emanate from different custodial and administrative contexts. DW-4 entry-এর provenance প্রমাণ করতে ব্যর্থ হয়েছেন, যা AC Land volume-এর evidentiary weight-কে ক্ষতিগ্রস্ত করে।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3"/>
      </w:pPr>
      <w:r>
        <w:rPr>
          <w:rFonts w:ascii="Kalpurush" w:cs="Kalpurush" w:eastAsia="Kalpurush" w:hAnsi="Kalpurush"/>
          <w:sz w:val="20"/>
          <w:szCs w:val="20"/>
        </w:rPr>
        <w:t xml:space="preserve">৪. ১৯৭৫ সালের Register Deed: Material Inconsistency</w:t>
      </w:r>
    </w:p>
    <w:p>
      <w:r>
        <w:rPr>
          <w:rFonts w:ascii="Kalpurush" w:cs="Kalpurush" w:eastAsia="Kalpurush" w:hAnsi="Kalpurush"/>
          <w:sz w:val="20"/>
          <w:szCs w:val="20"/>
        </w:rPr>
        <w:t xml:space="preserve">১৯৬৯-এর alleged correction-এ SA 238 যদি এক দাগে (1259) সীমাবদ্ধ হয়, তবে respondents-এর নিজস্ব ১৯৭৫ সালের registered deed-এ ছয়টি দাগ (1259, 75, 3, 54, 1252, 1220) কেন? This is a material documentary inconsistency requiring explanation. 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3"/>
      </w:pPr>
      <w:r>
        <w:rPr>
          <w:rFonts w:ascii="Kalpurush" w:cs="Kalpurush" w:eastAsia="Kalpurush" w:hAnsi="Kalpurush"/>
          <w:sz w:val="20"/>
          <w:szCs w:val="20"/>
        </w:rPr>
        <w:t xml:space="preserve">৫. Affirmative Title Claim নাকি Partition Obstruction?</w:t>
      </w:r>
    </w:p>
    <w:p>
      <w:r>
        <w:rPr>
          <w:rFonts w:ascii="Kalpurush" w:cs="Kalpurush" w:eastAsia="Kalpurush" w:hAnsi="Kalpurush"/>
          <w:sz w:val="20"/>
          <w:szCs w:val="20"/>
        </w:rPr>
        <w:t xml:space="preserve">Respondents নিজেদের saham নির্দিষ্ট করে নাই, alternative allotment চায় নাই, foundation documents দেয় নাই, 1975 deed-এর conflict reconcile করে নাই—তবু partition suit-এর সম্পূর্ণ dismissal চায়।</w:t>
      </w:r>
    </w:p>
    <w:p>
      <w:pPr>
        <w:ind w:left="720"/>
      </w:pPr>
      <w:r>
        <w:rPr>
          <w:rFonts w:ascii="Kalpurush" w:cs="Kalpurush" w:eastAsia="Kalpurush" w:hAnsi="Kalpurush"/>
          <w:b/>
          <w:bCs/>
          <w:i/>
          <w:iCs/>
          <w:sz w:val="20"/>
          <w:szCs w:val="20"/>
        </w:rPr>
        <w:t xml:space="preserve">এই cumulative circumstances কি একটি bona fide competing title claim-এর সঙ্গে সামঞ্জস্যপূর্ণ, নাকি এগুলো এমন একটি defence নির্দেশ করে যার practical effect কেবল partition proceeding ব্যর্থ করা?</w:t>
      </w:r>
    </w:p>
    <w:p>
      <w:r>
        <w:rPr>
          <w:rFonts w:ascii="Kalpurush" w:cs="Kalpurush" w:eastAsia="Kalpurush" w:hAnsi="Kalpurush"/>
        </w:rPr>
        <w:t xml:space="preserve"/>
      </w:r>
    </w:p>
    <w:p>
      <w:pPr>
        <w:pStyle w:val="Heading3"/>
      </w:pPr>
      <w:r>
        <w:rPr>
          <w:rFonts w:ascii="Kalpurush" w:cs="Kalpurush" w:eastAsia="Kalpurush" w:hAnsi="Kalpurush"/>
          <w:sz w:val="20"/>
          <w:szCs w:val="20"/>
        </w:rPr>
        <w:t xml:space="preserve">সমাপনী নিবেদন</w:t>
      </w:r>
    </w:p>
    <w:p>
      <w:r>
        <w:rPr>
          <w:rFonts w:ascii="Kalpurush" w:cs="Kalpurush" w:eastAsia="Kalpurush" w:hAnsi="Kalpurush"/>
          <w:sz w:val="20"/>
          <w:szCs w:val="20"/>
        </w:rPr>
        <w:t xml:space="preserve">আমরা একটি প্রমাণিত final record-এর বিরুদ্ধে একটি alleged historical event-এর দাবি দেখছি, যার documentary chain অসম্পূর্ণ। </w:t>
      </w:r>
    </w:p>
    <w:p>
      <w:pPr>
        <w:ind w:left="720"/>
      </w:pPr>
      <w:r>
        <w:rPr>
          <w:rFonts w:ascii="Kalpurush" w:cs="Kalpurush" w:eastAsia="Kalpurush" w:hAnsi="Kalpurush"/>
          <w:b/>
          <w:bCs/>
          <w:i/>
          <w:iCs/>
          <w:sz w:val="20"/>
          <w:szCs w:val="20"/>
        </w:rPr>
        <w:t xml:space="preserve">প্রশ্নটি হওয়া উচিত নয়—“SA 238 ভুল হতে পারে কি?” প্রশ্নটি হওয়া উচিত—“এই particular SA 238 কীভাবে, কখন এবং কোন নির্ভরযোগ্য আইনগত প্রক্রিয়ায় displaced হয়েছিল?”</w:t>
      </w:r>
    </w:p>
    <w:p>
      <w:r>
        <w:rPr>
          <w:rFonts w:ascii="Kalpurush" w:cs="Kalpurush" w:eastAsia="Kalpurush" w:hAnsi="Kalpurush"/>
        </w:rPr>
        <w:t xml:space="preserve"/>
      </w:r>
    </w:p>
    <w:p>
      <w:r>
        <w:rPr>
          <w:rFonts w:ascii="Kalpurush" w:cs="Kalpurush" w:eastAsia="Kalpurush" w:hAnsi="Kalpurush"/>
          <w:sz w:val="20"/>
          <w:szCs w:val="20"/>
        </w:rPr>
        <w:t xml:space="preserve">সেই bridge প্রমাণিত হয়নি। একটি unexplained volume entry-র উপর দাঁড়িয়ে প্রকৃত co-sharers-এর partition remedy নাকচ করা ন্যায়সংগত হবে না।</w:t>
      </w:r>
    </w:p>
    <w:p>
      <w:r>
        <w:rPr>
          <w:rFonts w:ascii="Kalpurush" w:cs="Kalpurush" w:eastAsia="Kalpurush" w:hAnsi="Kalpurush"/>
        </w:rPr>
        <w:t xml:space="preserve"/>
      </w:r>
    </w:p>
    <w:sectPr>
      <w:pgSz w:w="12240" w:h="2016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alpurush" w:cs="Kalpurush" w:eastAsia="Kalpurush" w:hAnsi="Kalpurush"/>
        <w:sz w:val="20"/>
        <w:szCs w:val="20"/>
      </w:rPr>
    </w:rPrDefault>
    <w:pPrDefault>
      <w:pPr>
        <w:spacing w:after="0" w:before="0"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2026-08-17T12:44:50.527Z</dcterms:created>
  <dcterms:modified xsi:type="dcterms:W3CDTF">2026-08-17T12:44:50.527Z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