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আপীল শুনানির সারাংশ (v58)</w:t>
      </w:r>
    </w:p>
    <w:p>
      <w:r>
        <w:rPr>
          <w:rFonts w:ascii="Kalpurush" w:cs="Kalpurush" w:eastAsia="Kalpurush" w:hAnsi="Kalpurush"/>
          <w:b/>
          <w:bCs/>
          <w:sz w:val="20"/>
          <w:szCs w:val="20"/>
        </w:rPr>
        <w:t xml:space="preserve">টাঙ্গাইল সিভিল আপীল নং ৩৮/২০২৬</w:t>
      </w:r>
    </w:p>
    <w:p>
      <w:r>
        <w:rPr>
          <w:rFonts w:ascii="Kalpurush" w:cs="Kalpurush" w:eastAsia="Kalpurush" w:hAnsi="Kalpurush"/>
        </w:rPr>
        <w:t xml:space="preserve"/>
      </w:r>
    </w:p>
    <w:p>
      <w:r>
        <w:rPr>
          <w:rFonts w:ascii="Kalpurush" w:cs="Kalpurush" w:eastAsia="Kalpurush" w:hAnsi="Kalpurush"/>
          <w:b/>
          <w:bCs/>
          <w:sz w:val="20"/>
          <w:szCs w:val="20"/>
        </w:rPr>
        <w:t xml:space="preserve">১. Root Title Failure:</w:t>
      </w:r>
      <w:r>
        <w:rPr>
          <w:rFonts w:ascii="Kalpurush" w:cs="Kalpurush" w:eastAsia="Kalpurush" w:hAnsi="Kalpurush"/>
          <w:sz w:val="20"/>
          <w:szCs w:val="20"/>
        </w:rPr>
        <w:t xml:space="preserve"> The Trial Court accepted derivative title without proving root title. Absent a registered patta or estate return, Abdul Karim was never a legal tenant. Therefore, his heirs had nothing to inherit.</w:t>
      </w:r>
    </w:p>
    <w:p>
      <w:r>
        <w:rPr>
          <w:rFonts w:ascii="Kalpurush" w:cs="Kalpurush" w:eastAsia="Kalpurush" w:hAnsi="Kalpurush"/>
        </w:rPr>
        <w:t xml:space="preserve"/>
      </w:r>
    </w:p>
    <w:p>
      <w:r>
        <w:rPr>
          <w:rFonts w:ascii="Kalpurush" w:cs="Kalpurush" w:eastAsia="Kalpurush" w:hAnsi="Kalpurush"/>
          <w:b/>
          <w:bCs/>
          <w:sz w:val="20"/>
          <w:szCs w:val="20"/>
        </w:rPr>
        <w:t xml:space="preserve">২. Adverse Inference:</w:t>
      </w:r>
      <w:r>
        <w:rPr>
          <w:rFonts w:ascii="Kalpurush" w:cs="Kalpurush" w:eastAsia="Kalpurush" w:hAnsi="Kalpurush"/>
          <w:sz w:val="20"/>
          <w:szCs w:val="20"/>
        </w:rPr>
        <w:t xml:space="preserve"> The Trial Court illegally shifted the burden of proof. Plaintiffs proved SA Khatian (State Recognition). Defendants failed to produce the Misc Case decree. Court must presume the decree did not exist or was unfavorable.</w:t>
      </w:r>
    </w:p>
    <w:p>
      <w:r>
        <w:rPr>
          <w:rFonts w:ascii="Kalpurush" w:cs="Kalpurush" w:eastAsia="Kalpurush" w:hAnsi="Kalpurush"/>
        </w:rPr>
        <w:t xml:space="preserve"/>
      </w:r>
    </w:p>
    <w:p>
      <w:r>
        <w:rPr>
          <w:rFonts w:ascii="Kalpurush" w:cs="Kalpurush" w:eastAsia="Kalpurush" w:hAnsi="Kalpurush"/>
          <w:b/>
          <w:bCs/>
          <w:sz w:val="20"/>
          <w:szCs w:val="20"/>
        </w:rPr>
        <w:t xml:space="preserve">৩. Volume Note Override:</w:t>
      </w:r>
      <w:r>
        <w:rPr>
          <w:rFonts w:ascii="Kalpurush" w:cs="Kalpurush" w:eastAsia="Kalpurush" w:hAnsi="Kalpurush"/>
          <w:sz w:val="20"/>
          <w:szCs w:val="20"/>
        </w:rPr>
        <w:t xml:space="preserve"> The Trial Court illegally elevated a fraudulent, different-ink margin note in a revenue working copy over the constitutionally mandated DC Record Room original. Furthermore, defendants' own 1975 deed contradicts the 1969 correction theory.</w:t>
      </w:r>
    </w:p>
    <w:p>
      <w:r>
        <w:rPr>
          <w:rFonts w:ascii="Kalpurush" w:cs="Kalpurush" w:eastAsia="Kalpurush" w:hAnsi="Kalpurush"/>
        </w:rPr>
        <w:t xml:space="preserve"/>
      </w:r>
    </w:p>
    <w:p>
      <w:r>
        <w:rPr>
          <w:rFonts w:ascii="Kalpurush" w:cs="Kalpurush" w:eastAsia="Kalpurush" w:hAnsi="Kalpurush"/>
          <w:b/>
          <w:bCs/>
          <w:sz w:val="20"/>
          <w:szCs w:val="20"/>
        </w:rPr>
        <w:t xml:space="preserve">৪. 1975 Deed Contradiction:</w:t>
      </w:r>
      <w:r>
        <w:rPr>
          <w:rFonts w:ascii="Kalpurush" w:cs="Kalpurush" w:eastAsia="Kalpurush" w:hAnsi="Kalpurush"/>
          <w:sz w:val="20"/>
          <w:szCs w:val="20"/>
        </w:rPr>
        <w:t xml:space="preserve"> ১৯৭৫ সালের দলিলে ৬ দাগের উপস্থিতি ১৯৬৯ সালের ১ দাগের সংশোধনের দাবিকে সম্পূর্ণ মিথ্যা প্রমাণ করে।</w:t>
      </w:r>
    </w:p>
    <w:p>
      <w:r>
        <w:rPr>
          <w:rFonts w:ascii="Kalpurush" w:cs="Kalpurush" w:eastAsia="Kalpurush" w:hAnsi="Kalpurush"/>
        </w:rPr>
        <w:t xml:space="preserve"/>
      </w:r>
    </w:p>
    <w:p>
      <w:r>
        <w:rPr>
          <w:rFonts w:ascii="Kalpurush" w:cs="Kalpurush" w:eastAsia="Kalpurush" w:hAnsi="Kalpurush"/>
          <w:b/>
          <w:bCs/>
          <w:sz w:val="20"/>
          <w:szCs w:val="20"/>
        </w:rPr>
        <w:t xml:space="preserve">৫. Rent Receipt Anomaly:</w:t>
      </w:r>
      <w:r>
        <w:rPr>
          <w:rFonts w:ascii="Kalpurush" w:cs="Kalpurush" w:eastAsia="Kalpurush" w:hAnsi="Kalpurush"/>
          <w:sz w:val="20"/>
          <w:szCs w:val="20"/>
        </w:rPr>
        <w:t xml:space="preserve"> ১৩৩৪ বঙ্গাব্দের রসিদ নং ৩৪৯, আর ১৩৫৭ বঙ্গাব্দের রসিদ নং ৩৪০। ক্রমিক নম্বরের এই অসঙ্গতি জালিয়াতির অকাট্য প্রমাণ।</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2026-06-25T20:54:23.319Z</dcterms:created>
  <dcterms:modified xsi:type="dcterms:W3CDTF">2026-06-25T20:54:23.319Z</dcterms:modified>
</cp:coreProperties>
</file>

<file path=docProps/custom.xml><?xml version="1.0" encoding="utf-8"?>
<Properties xmlns="http://schemas.openxmlformats.org/officeDocument/2006/custom-properties" xmlns:vt="http://schemas.openxmlformats.org/officeDocument/2006/docPropsVTypes"/>
</file>