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লিখিত যুক্তিতর্ক (Version 86 — Disciplined Court-Ready Master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নিবেদন ও এখতিয়ারগত স্পষ্টীকরণ (Opening Address &amp; Jurisdictional Clarification)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সিভিল জজ আদালতের বাটোয়ারা মামলা নং ৬৬/২০১৬-এর ০৫-০৪-২০২৬ তারিখের খারিজ রায় ও ০৯-০৪-২০২৬ তারিখের ডিক্রির বিরুদ্ধে আপীল্যান্ট বাদীপক্ষের এই আপীল।*</w:t>
      </w:r>
    </w:p>
    <w:p>
      <w:r>
        <w:rPr>
          <w:rFonts w:ascii="Kalpurush" w:cs="Kalpurush" w:eastAsia="Kalpurush" w:hAnsi="Kalpurush"/>
        </w:rPr>
        <w:t xml:space="preserve"/>
      </w:r>
    </w:p>
    <w:p>
      <w:r>
        <w:rPr>
          <w:rFonts w:ascii="Kalpurush" w:cs="Kalpurush" w:eastAsia="Kalpurush" w:hAnsi="Kalpurush"/>
          <w:sz w:val="20"/>
          <w:szCs w:val="20"/>
        </w:rPr>
        <w:t xml:space="preserve">*এই আপীলে কালানুক্রমিক ইতিহাসের চেয়ে সাক্ষ্যের আইনগত ক্রম (evidentiary hierarchy) অধিক গুরুত্বপূর্ণ। আমাদের শুনানির মূল রিফ্রেইন (Refrain) হইল:*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আমরা বলছি না যে SA ২৩৮ অখণ্ডনীয় (conclusive) বা উহা rebut করা আইনত অসম্ভব। আমাদের প্রশ্ন শুধু — উহা rebut করার মতো নির্ভরযোগ্য প্রমাণ (rebuttal evidence) বিবাদীপক্ষের কাছে কোথায়?"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Jurisdictional Clarification (SAT Act ও এই আপীলের এখতিয়ারগত সীমা প্রসঙ্গে):</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শুরুতেই একটি এখতিয়ারগত বিষয় স্পষ্ট করা প্রয়োজন। এই আপীলে SA ২৩৮ সংশোধন বা বাতিলের জন্য কোনো independent relief প্রার্থনা করা হইতেছে না; বরং বিবাদীপক্ষের প্রতিরক্ষার ভিত্তি হিসেবে কথিত ১৯৬৯ সালের সংশোধন আদৌ নির্ভরযোগ্য সাক্ষ্যে প্রমাণিত এবং এই বাটোয়ারা মামলার title dispute-এ আইনগতভাবে কার্যকর হয়েছিল কি না, সেই প্রশ্নের evidentiary sufficiency পরীক্ষা করা হইতেছে।*</w:t>
      </w:r>
    </w:p>
    <w:p>
      <w:r>
        <w:rPr>
          <w:rFonts w:ascii="Kalpurush" w:cs="Kalpurush" w:eastAsia="Kalpurush" w:hAnsi="Kalpurush"/>
        </w:rPr>
        <w:t xml:space="preserve"/>
      </w:r>
    </w:p>
    <w:p>
      <w:r>
        <w:rPr>
          <w:rFonts w:ascii="Kalpurush" w:cs="Kalpurush" w:eastAsia="Kalpurush" w:hAnsi="Kalpurush"/>
          <w:sz w:val="20"/>
          <w:szCs w:val="20"/>
        </w:rPr>
        <w:t xml:space="preserve">*বিবাদীরা যে 'কথিত ১৯৬৯ সালের সংশোধন'-এর উপর নির্ভর করিতেছে, তাহা নির্ভরযোগ্য সাক্ষ্যে প্রমাণিত না হওয়ায়, বর্তমানে জেলা সেটেলমেন্ট রেকর্ড রুমে সংরক্ষিত SA ২৩৮-ই এই মামলায় বিবেচনার জন্য উপস্থিত প্রাসঙ্গিক সংবিধিবদ্ধ রেকর্ড।*</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Record):</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রেকর্ড চূড়ান্তভাবে প্রকাশিত হয়। বর্তমানে জেলা Settlement Record Room-এ সংরক্ষিত সইমোহরি SA ২৩৮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Evidentiary Advantage):</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final certified SA ২৩৮ রেকর্ড দাখিলের মাধ্যমে statutory presumption-এর সুবিধা গ্রহণের প্রাথমিক ভিত্তি প্রতিষ্ঠা করিয়াছে; SA ২৩৮ এই মামলায় evidentiary starting point, এবং বিবাদীপক্ষকে তাহাদের affirmative displacement theory নির্ভরযোগ্য সাক্ষ্যে প্রমাণ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ভলিউমের এন্ট্রি দেখাইয়াছে — কিন্তু যে আদেশের ভিত্তিতে entry-টি allegedly তৈরি, সেই আদেশ কোথায়? কথিত ১১৮১/১৯৬৯ Misc Case-এর existence, contents, jurisdiction, notice, এবং সেই আদেশের ভিত্তিতে বাস্তবে কীভাবে এবং কোন সরকারি record-এর মাধ্যমে SA position পরিবর্তিত হয়েছিল — তার নির্ভরযোগ্য documentary evidence কোথায়? সংশোধিত SA ২৩৮-এর সইমোহরি কপি কোথায়? এই গুরুত্বপূর্ণ প্রশ্নগুলোর কোনো প্রাতিষ্ঠানিক প্রমাণ রেকর্ডে নাই। A consequential revenue entry, standing alone and without proof of its legal source, cannot displace the statutory presumption attached to a finally published SA record. (বঙ্গানুবাদ: আইনগত উৎস প্রমাণ ব্যতীত কোনো রাজস্ব এন্ট্রি এককভাবে চূড়ান্ত প্রকাশিত এসএ রেকর্ডের সংবিধিবদ্ধ অনুমানকে বাতিল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অথচ তাহাদের নিজেদেরই সম্পাদিত ও রেজিস্ট্রিকৃত ৩৫৯৬/১৯৭৫ নং দলিলে (Exhibit Kha-1) SA ২৩৮ খতিয়ানের অধীনে ১টি নহে, বরং ৬টি দাগের বর্ণনা রহিয়াছে।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দালিলিক বৈপরীত্য কথিত সংশোধন তত্ত্বের বিশ্বাসযোগ্যতা সম্পর্কে গুরুতর প্রশ্ন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রাজস্ব ভলিউম এন্ট্রিকে মূল রেকর্ড রুমের সংবিধিবদ্ধ রেকর্ডের উপরে স্থান দিয়েছেন বিনা আইনি উৎস যাচাইয়ে, এবং (৪) নিজস্ব দলিলের গুরুতর বৈপরীত্য ও গাণিতিক অসামঞ্জস্য বিবেচনায় নেননি। অতএব ট্রায়াল কোর্টের খারিজ রায় বাতিল করিয়া বাদীদের অনুকূলে প্রাথমিক ডিক্রি প্রদানই ন্যায়বিচারের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 The Two-Layer Test (আপীলের মূল আইনি কাঠামো)</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দাবি টিকাইতে হলে আদালতকে দুটি স্তরের (Two-Layer) পরীক্ষায় উত্তীর্ণ হইতে হইবে:*</w:t>
      </w:r>
    </w:p>
    <w:p>
      <w:r>
        <w:rPr>
          <w:rFonts w:ascii="Kalpurush" w:cs="Kalpurush" w:eastAsia="Kalpurush" w:hAnsi="Kalpurush"/>
        </w:rPr>
        <w:t xml:space="preserve"/>
      </w:r>
    </w:p>
    <w:p>
      <w:r>
        <w:rPr>
          <w:rFonts w:ascii="Kalpurush" w:cs="Kalpurush" w:eastAsia="Kalpurush" w:hAnsi="Kalpurush"/>
          <w:b/>
          <w:bCs/>
          <w:sz w:val="20"/>
          <w:szCs w:val="20"/>
        </w:rPr>
        <w:t xml:space="preserve">Layer 1 (Competing Root):</w:t>
      </w:r>
      <w:r>
        <w:rPr>
          <w:rFonts w:ascii="Kalpurush" w:cs="Kalpurush" w:eastAsia="Kalpurush" w:hAnsi="Kalpurush"/>
          <w:sz w:val="20"/>
          <w:szCs w:val="20"/>
        </w:rPr>
        <w:t xml:space="preserve"> *আব্দুল করিম কি পূর্বে এমন একটি legally cognizable tenancy interest নির্ভরযোগ্যভাবে অর্জন করিয়াছিলেন, যার উত্তরাধিকার সোনাভানুর দিকে যায়?*</w:t>
      </w:r>
    </w:p>
    <w:p>
      <w:r>
        <w:rPr>
          <w:rFonts w:ascii="Kalpurush" w:cs="Kalpurush" w:eastAsia="Kalpurush" w:hAnsi="Kalpurush"/>
        </w:rPr>
        <w:t xml:space="preserve"/>
      </w:r>
    </w:p>
    <w:p>
      <w:r>
        <w:rPr>
          <w:rFonts w:ascii="Kalpurush" w:cs="Kalpurush" w:eastAsia="Kalpurush" w:hAnsi="Kalpurush"/>
          <w:b/>
          <w:bCs/>
          <w:sz w:val="20"/>
          <w:szCs w:val="20"/>
        </w:rPr>
        <w:t xml:space="preserve">Layer 2 (Displacement):</w:t>
      </w:r>
      <w:r>
        <w:rPr>
          <w:rFonts w:ascii="Kalpurush" w:cs="Kalpurush" w:eastAsia="Kalpurush" w:hAnsi="Kalpurush"/>
          <w:sz w:val="20"/>
          <w:szCs w:val="20"/>
        </w:rPr>
        <w:t xml:space="preserve"> *যদি এমন কোনো interest থাকিয়াও থাকে, তবে তাহা কীভাবে আইনসম্মতভাবে আব্দুল আলীর চূড়ান্তভাবে প্রকাশিত SA entry-কে displace করিয়া সোনাভানুর জন্য একটি বলবৎযোগ্য বর্তমান স্বত্ব (enforceable present interest) সৃষ্টি করিল?*</w:t>
      </w:r>
    </w:p>
    <w:p>
      <w:r>
        <w:rPr>
          <w:rFonts w:ascii="Kalpurush" w:cs="Kalpurush" w:eastAsia="Kalpurush" w:hAnsi="Kalpurush"/>
        </w:rPr>
        <w:t xml:space="preserve"/>
      </w:r>
    </w:p>
    <w:p>
      <w:r>
        <w:rPr>
          <w:rFonts w:ascii="Kalpurush" w:cs="Kalpurush" w:eastAsia="Kalpurush" w:hAnsi="Kalpurush"/>
          <w:sz w:val="20"/>
          <w:szCs w:val="20"/>
        </w:rPr>
        <w:t xml:space="preserve">*দ্বিতীয় প্রশ্নটাই এই আপীলের আসল শক্তি। বিবাদীপক্ষ যদি বলে "Abdul Karim was the original tenant" — আমাদের উত্তর:*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that proposition for argument's sake, it does not by itself establish that Abdul Ali's finally published SA entry was wrong, nor does it establish the lawful creation of a present enforceable interest in Sona Bhanu."</w:t>
      </w:r>
    </w:p>
    <w:p>
      <w:pPr>
        <w:ind w:left="720"/>
      </w:pPr>
      <w:r>
        <w:rPr>
          <w:rFonts w:ascii="Kalpurush" w:cs="Kalpurush" w:eastAsia="Kalpurush" w:hAnsi="Kalpurush"/>
          <w:i/>
          <w:iCs/>
          <w:sz w:val="20"/>
          <w:szCs w:val="20"/>
        </w:rPr>
        <w:t xml:space="preserve">*(বঙ্গানুবাদ: "তর্কের খাতিরে যদি সেই দাবি মেনেও নেওয়া হয়, তবু তাহা নিজে থেকেই প্রমাণ করে না যে আব্দুল আলীর চূড়ান্তভাবে প্রকাশিত SA entry ভুল ছিল, এবং তাহা সোনাভানুর জন্য বর্তমান বলবৎযোগ্য স্বত্ব সৃষ্টির বৈধতাও প্রতিষ্ঠিত করে না।")*</w:t>
      </w:r>
    </w:p>
    <w:p>
      <w:r>
        <w:rPr>
          <w:rFonts w:ascii="Kalpurush" w:cs="Kalpurush" w:eastAsia="Kalpurush" w:hAnsi="Kalpurush"/>
        </w:rPr>
        <w:t xml:space="preserve"/>
      </w:r>
    </w:p>
    <w:p>
      <w:r>
        <w:rPr>
          <w:rFonts w:ascii="Kalpurush" w:cs="Kalpurush" w:eastAsia="Kalpurush" w:hAnsi="Kalpurush"/>
          <w:sz w:val="20"/>
          <w:szCs w:val="20"/>
        </w:rPr>
        <w:t xml:space="preserve">*বিবাদীপক্ষ এই দুটি স্তরের কোনোটিতেই নির্ভরযোগ্য দালিলিক প্রমাণ উপস্থাপন করিতে পারেনি। অতএব এই আপীলের প্রকৃত প্রশ্ন 'SA ২৩৮ কি ভুল?' নয়; বরং:*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are not merely challenging a record; they are asking the Court to accept an alleged legal event — correction of SA 238 — which they have not proved by the order that supposedly caused it, the official record that supposedly implemented it, or consistent subsequent documentary conduct."</w:t>
      </w:r>
    </w:p>
    <w:p>
      <w:pPr>
        <w:ind w:left="720"/>
      </w:pPr>
      <w:r>
        <w:rPr>
          <w:rFonts w:ascii="Kalpurush" w:cs="Kalpurush" w:eastAsia="Kalpurush" w:hAnsi="Kalpurush"/>
          <w:i/>
          <w:iCs/>
          <w:sz w:val="20"/>
          <w:szCs w:val="20"/>
        </w:rPr>
        <w:t xml:space="preserve">*(বঙ্গানুবাদ: "বিবাদীপক্ষ কেবল একটি রেকর্ডকে চ্যালেঞ্জ করছে না; তারা আদালতকে এমন একটি কথিত আইনগত ঘটনা বিশ্বাস করতে বলছে — SA ২৩৮ সংশোধন — কিন্তু সেই ঘটনার মূল আদেশ, সরকারি বাস্তবায়ন এবং পরবর্তী সামঞ্জস্যপূর্ণ দলিলগত আচরণ — কোনোটিই তারা নির্ভরযোগ্যভাবে প্রমাণ করতে পারেনি।")*"*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 SA ২৩৮ নং খতিয়ান: প্রারম্ভিক ভিত্তি ও ধারা ১৪৪A-এর সংবিধিবদ্ধ অনুমান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*বর্তমান মামলার বিচারিক সূচনা বিন্দু (Starting Point) হইল রাষ্ট্রের চূড়ান্তভাবে প্রকাশিত SA ২৩৮ নং খতিয়ান (প্রদর্শনী-৪)।*</w:t>
      </w:r>
    </w:p>
    <w:p>
      <w:r>
        <w:rPr>
          <w:rFonts w:ascii="Kalpurush" w:cs="Kalpurush" w:eastAsia="Kalpurush" w:hAnsi="Kalpurush"/>
        </w:rPr>
        <w:t xml:space="preserve"/>
      </w:r>
    </w:p>
    <w:p>
      <w:r>
        <w:rPr>
          <w:rFonts w:ascii="Kalpurush" w:cs="Kalpurush" w:eastAsia="Kalpurush" w:hAnsi="Kalpurush"/>
          <w:sz w:val="20"/>
          <w:szCs w:val="20"/>
        </w:rPr>
        <w:t xml:space="preserve">*SAT Act, 1950-এর Section 144A অনুযায়ী চূড়ান্তভাবে প্রকাশিত record of rights-এর entry evidence হিসেবে গ্রহণযোগ্য এবং সঠিক বলে অনুমিত হয় (presumed to be correct) — যতক্ষণ না নির্ভরযোগ্য সাক্ষ্য দ্বারা ভুল প্রমাণিত হয়; এটি rebuttable presumption, conclusive নয়। বাদীপক্ষ final certified SA ২৩৮ রেকর্ড দাখিলের মাধ্যমে এই statutory presumption-এর সুবিধা গ্রহণের প্রাথমিক ভিত্তি প্রতিষ্ঠা করিয়াছে। SA ২৩৮ এই মামলায় evidentiary starting point এবং বিবাদীপক্ষকে তাহাদের affirmative displacement theory নির্ভরযোগ্য সাক্ষ্যে প্রমাণ করিতে হইবে।*</w:t>
      </w:r>
    </w:p>
    <w:p>
      <w:r>
        <w:rPr>
          <w:rFonts w:ascii="Kalpurush" w:cs="Kalpurush" w:eastAsia="Kalpurush" w:hAnsi="Kalpurush"/>
        </w:rPr>
        <w:t xml:space="preserve"/>
      </w:r>
    </w:p>
    <w:p>
      <w:r>
        <w:rPr>
          <w:rFonts w:ascii="Kalpurush" w:cs="Kalpurush" w:eastAsia="Kalpurush" w:hAnsi="Kalpurush"/>
          <w:sz w:val="20"/>
          <w:szCs w:val="20"/>
        </w:rPr>
        <w:t xml:space="preserve">*সুপ্রিম কোর্টের সুপ্রতিষ্ঠিত সিদ্ধান্তসমূহ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Assistant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pPr>
        <w:ind w:left="720"/>
      </w:pPr>
      <w:r>
        <w:rPr>
          <w:rFonts w:ascii="Kalpurush" w:cs="Kalpurush" w:eastAsia="Kalpurush" w:hAnsi="Kalpurush"/>
          <w:i/>
          <w:iCs/>
          <w:sz w:val="20"/>
          <w:szCs w:val="20"/>
        </w:rPr>
        <w:t xml:space="preserve">*(বঙ্গানুবাদ: "এস.এ.টি. আইনের ১৪৪A ধারার অধীনে চূড়ান্তভাবে প্রকাশিত ও সংশোধিত খতিয়ানের পেছনে সংবিধিবদ্ধ নির্ভুলতার অনুমান বিদ্যমান এবং নির্ভরযোগ্য সাক্ষ্য দ্বারা খণ্ডন না হওয়া পর্যন্ত সেই অনুমান অব্যাহত থাকে।")*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*"Records of rights prepared under the State Acquisition and Tenancy Act carry a statutory presumption of correctness which must be rebutted by positive and reliable evidence by the party asserting otherwise."*</w:t>
      </w:r>
    </w:p>
    <w:p>
      <w:pPr>
        <w:ind w:left="720"/>
      </w:pPr>
      <w:r>
        <w:rPr>
          <w:rFonts w:ascii="Kalpurush" w:cs="Kalpurush" w:eastAsia="Kalpurush" w:hAnsi="Kalpurush"/>
          <w:i/>
          <w:iCs/>
          <w:sz w:val="20"/>
          <w:szCs w:val="20"/>
        </w:rPr>
        <w:t xml:space="preserve">*(বঙ্গানুবাদ: "স্টেট একুইজিশন অ্যান্ড প্রজাস্বত্ব আইনের অধীনে প্রস্তুতকৃত খতিয়ান সংবিধিবদ্ধ নির্ভুলতার অনুমান বহন করে, যা বিপরীত দাবিদার পক্ষকে ইতিবাচক ও নির্ভরযোগ্য সাক্ষ্য দ্বারা খণ্ডন করতে হবে।")*</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Azizul Hoque vs. Upendra Narayan Roy, 10 BLT (AD) 105:</w:t>
      </w:r>
    </w:p>
    <w:p>
      <w:pPr>
        <w:ind w:left="720"/>
      </w:pPr>
      <w:r>
        <w:rPr>
          <w:rFonts w:ascii="Kalpurush" w:cs="Kalpurush" w:eastAsia="Kalpurush" w:hAnsi="Kalpurush"/>
          <w:i/>
          <w:iCs/>
          <w:sz w:val="20"/>
          <w:szCs w:val="20"/>
        </w:rPr>
        <w:t xml:space="preserve">*"The burden of proving the error in the record of rights lies heavily on the challenging party."*</w:t>
      </w:r>
    </w:p>
    <w:p>
      <w:pPr>
        <w:ind w:left="720"/>
      </w:pPr>
      <w:r>
        <w:rPr>
          <w:rFonts w:ascii="Kalpurush" w:cs="Kalpurush" w:eastAsia="Kalpurush" w:hAnsi="Kalpurush"/>
          <w:i/>
          <w:iCs/>
          <w:sz w:val="20"/>
          <w:szCs w:val="20"/>
        </w:rPr>
        <w:t xml:space="preserve">*(বঙ্গানুবাদ: "খতিয়ানের ভুল প্রমাণের সম্পূর্ণ দায়ভার চ্যালেঞ্জকারী পক্ষের ওপর বর্তায়।")*"*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III. কথিত ১৯৬৯ সালের Misc Case: Missing Legal Source &amp; The Evidentiary Checklist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 দাবি করিতেছে ১১৮১/১৯৬৯ নং মিস মোকদ্দমার মাধ্যমে খতিয়ান সংশোধিত হইয়াছে। কিন্তু আদালতের সামনে সেই proceeding-এর nature, jurisdiction, parties, notice, এবং actual result — কোনোটিরই প্রাতিষ্ঠানিক প্রমাণ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"Before accepting the alleged correction as legally operative, the Court must identify the legal instrument by which the correction occurred."</w:t>
      </w:r>
    </w:p>
    <w:p>
      <w:pPr>
        <w:ind w:left="720"/>
      </w:pPr>
      <w:r>
        <w:rPr>
          <w:rFonts w:ascii="Kalpurush" w:cs="Kalpurush" w:eastAsia="Kalpurush" w:hAnsi="Kalpurush"/>
          <w:i/>
          <w:iCs/>
          <w:sz w:val="20"/>
          <w:szCs w:val="20"/>
        </w:rPr>
        <w:t xml:space="preserve">*(বঙ্গানুবাদ: "কথিত সংশোধনকে আইনগতভাবে কার্যকর হিসেবে গ্রহণ করার পূর্বে আদালতকে অবশ্যই সনাক্ত করিতে হইবে কোন আইনি দলিলের মাধ্যমে উক্ত সংশোধন সংঘটিত হইয়াছিল।")*</w:t>
      </w:r>
    </w:p>
    <w:p>
      <w:r>
        <w:rPr>
          <w:rFonts w:ascii="Kalpurush" w:cs="Kalpurush" w:eastAsia="Kalpurush" w:hAnsi="Kalpurush"/>
        </w:rPr>
        <w:t xml:space="preserve"/>
      </w:r>
    </w:p>
    <w:p>
      <w:r>
        <w:rPr>
          <w:rFonts w:ascii="Kalpurush" w:cs="Kalpurush" w:eastAsia="Kalpurush" w:hAnsi="Kalpurush"/>
          <w:sz w:val="20"/>
          <w:szCs w:val="20"/>
        </w:rPr>
        <w:t xml:space="preserve">*তাহলে আমাদের কেন্দ্রীয় প্রশ্ন:*</w:t>
      </w:r>
    </w:p>
    <w:p>
      <w:pPr>
        <w:ind w:left="720"/>
      </w:pPr>
      <w:r>
        <w:rPr>
          <w:rFonts w:ascii="Kalpurush" w:cs="Kalpurush" w:eastAsia="Kalpurush" w:hAnsi="Kalpurush"/>
          <w:b/>
          <w:bCs/>
          <w:i/>
          <w:iCs/>
          <w:sz w:val="20"/>
          <w:szCs w:val="20"/>
        </w:rPr>
        <w:t xml:space="preserve">"মহামান্য আদালত, AC Land volume entry দেখানো হয়েছে — কিন্তু যে আদেশের ভিত্তিতে entry-টি allegedly তৈরি, সেই আদেশ কোথায়?"</w:t>
      </w:r>
    </w:p>
    <w:p>
      <w:r>
        <w:rPr>
          <w:rFonts w:ascii="Kalpurush" w:cs="Kalpurush" w:eastAsia="Kalpurush" w:hAnsi="Kalpurush"/>
        </w:rPr>
        <w:t xml:space="preserve"/>
      </w:r>
    </w:p>
    <w:p>
      <w:r>
        <w:rPr>
          <w:rFonts w:ascii="Kalpurush" w:cs="Kalpurush" w:eastAsia="Kalpurush" w:hAnsi="Kalpurush"/>
          <w:sz w:val="20"/>
          <w:szCs w:val="20"/>
        </w:rPr>
        <w:t xml:space="preserve">*আদালতের সামনে নিম্নলিখিত evidentiary gaps সম্পূর্ণ অপূর্ণ রহিয়াছে। এগুলো আইনের mandatory statutory checklist নয়; বরং বিবাদীপক্ষ যে affirmative correction theory দাঁড় করাইয়াছে, তাহার evidentiary sufficiency-র স্বাভাবিক পরীক্ষা:*</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 আদেশটি আদৌ অস্তিত্বশীল ছিল কি? সার্টিফাইড কপি কোথায়?*</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 আদেশটির সুনির্দিষ্ট বিষয়বস্তু ও শর্তাবলী কী ছিল?*</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 কোন এখতিয়ারে আদেশটি প্রদান করা হইয়াছিল? Misc Case-এ কি title adjudication-এর এখতিয়ার ছিল?*</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Notice</w:t>
      </w:r>
      <w:r>
        <w:rPr>
          <w:rFonts w:ascii="Kalpurush" w:cs="Kalpurush" w:eastAsia="Kalpurush" w:hAnsi="Kalpurush"/>
          <w:sz w:val="20"/>
          <w:szCs w:val="20"/>
        </w:rPr>
        <w:t xml:space="preserve"> — রেকর্ডভুক্ত প্রজা আব্দুল আলীকে নোটিশ প্রদান করা হইয়াছিল কি?*</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 কথিত আদেশের ভিত্তিতে বাস্তবে কীভাবে এবং কোন সরকারি record-এর মাধ্যমে SA position পরিবর্তিত হয়েছিল, তার নির্ভরযোগ্য documentary evidence কী?*</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Corrected Khatian</w:t>
      </w:r>
      <w:r>
        <w:rPr>
          <w:rFonts w:ascii="Kalpurush" w:cs="Kalpurush" w:eastAsia="Kalpurush" w:hAnsi="Kalpurush"/>
          <w:sz w:val="20"/>
          <w:szCs w:val="20"/>
        </w:rPr>
        <w:t xml:space="preserve"> — সংশোধিত SA ২৩৮ নং খতিয়ানের সইমোহরি কপি কোথায়?*</w:t>
      </w:r>
    </w:p>
    <w:p>
      <w:r>
        <w:rPr>
          <w:rFonts w:ascii="Kalpurush" w:cs="Kalpurush" w:eastAsia="Kalpurush" w:hAnsi="Kalpurush"/>
        </w:rPr>
        <w:t xml:space="preserve"/>
      </w:r>
    </w:p>
    <w:p>
      <w:r>
        <w:rPr>
          <w:rFonts w:ascii="Kalpurush" w:cs="Kalpurush" w:eastAsia="Kalpurush" w:hAnsi="Kalpurush"/>
          <w:sz w:val="20"/>
          <w:szCs w:val="20"/>
        </w:rPr>
        <w:t xml:space="preserve">*সাক্ষ্যগত অবস্থান:*</w:t>
      </w:r>
    </w:p>
    <w:p>
      <w:pPr>
        <w:ind w:left="720"/>
      </w:pPr>
      <w:r>
        <w:rPr>
          <w:rFonts w:ascii="Kalpurush" w:cs="Kalpurush" w:eastAsia="Kalpurush" w:hAnsi="Kalpurush"/>
          <w:b/>
          <w:bCs/>
          <w:i/>
          <w:iCs/>
          <w:sz w:val="20"/>
          <w:szCs w:val="20"/>
        </w:rPr>
        <w:t xml:space="preserve">"আমরা বলছি না যে corrected certified copy না থাকলেই correction অসম্ভব। আমরা বলছি — যে পক্ষ correction-এর উপর substantive title দাবি করছে, সে correction-এর authoritative existence, content এবং implementation নির্ভরযোগ্যভাবে প্রমাণ করার মতো অন্য কোনো documentary chain-ও উপস্থাপন করেনি।"</w:t>
      </w:r>
    </w:p>
    <w:p>
      <w:pPr>
        <w:ind w:left="720"/>
      </w:pPr>
      <w:r>
        <w:rPr>
          <w:rFonts w:ascii="Kalpurush" w:cs="Kalpurush" w:eastAsia="Kalpurush" w:hAnsi="Kalpurush"/>
          <w:i/>
          <w:iCs/>
          <w:sz w:val="20"/>
          <w:szCs w:val="20"/>
        </w:rPr>
        <w:t xml:space="preserve">*(বঙ্গানুবাদ: "আমরা বলছি না যে সংশোধিত সার্টিফাইড কপির অনুপস্থিতিই কথিত সংশোধনকে অসম্ভব করে। আমরা বলছি — যে পক্ষ সংশোধনের ভিত্তিতে মূল স্বত্ব দাবি করছে, সে সংশোধনের আইনগত অস্তিত্ব, বিষয়বস্তু ও বাস্তবায়ন নির্ভরযোগ্যভাবে প্রমাণ করার মতো কোনো documentary chain-ও উপস্থাপন করতে পারেনি।")*</w:t>
      </w:r>
    </w:p>
    <w:p>
      <w:r>
        <w:rPr>
          <w:rFonts w:ascii="Kalpurush" w:cs="Kalpurush" w:eastAsia="Kalpurush" w:hAnsi="Kalpurush"/>
        </w:rPr>
        <w:t xml:space="preserve"/>
      </w:r>
    </w:p>
    <w:p>
      <w:r>
        <w:rPr>
          <w:rFonts w:ascii="Kalpurush" w:cs="Kalpurush" w:eastAsia="Kalpurush" w:hAnsi="Kalpurush"/>
          <w:sz w:val="20"/>
          <w:szCs w:val="20"/>
        </w:rPr>
        <w:t xml:space="preserve">*প্রাসঙ্গিক আইনি নজির —*</w:t>
      </w:r>
    </w:p>
    <w:p>
      <w:pPr>
        <w:ind w:left="720"/>
      </w:pPr>
      <w:r>
        <w:rPr>
          <w:rFonts w:ascii="Kalpurush" w:cs="Kalpurush" w:eastAsia="Kalpurush" w:hAnsi="Kalpurush"/>
          <w:b/>
          <w:bCs/>
          <w:i/>
          <w:iCs/>
          <w:sz w:val="20"/>
          <w:szCs w:val="20"/>
        </w:rPr>
        <w:t xml:space="preserve">Malay Miah vs. Maharam Ali, 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pPr>
        <w:ind w:left="720"/>
      </w:pPr>
      <w:r>
        <w:rPr>
          <w:rFonts w:ascii="Kalpurush" w:cs="Kalpurush" w:eastAsia="Kalpurush" w:hAnsi="Kalpurush"/>
          <w:i/>
          <w:iCs/>
          <w:sz w:val="20"/>
          <w:szCs w:val="20"/>
        </w:rPr>
        <w:t xml:space="preserve">*(বঙ্গানুবাদ: "মিস মোকদ্দমার সংক্ষিপ্ত প্রক্রিয়ায় স্বত্বের প্রশ্ন নিষ্পত্তি করা যায় না। স্বত্ব ঘোষণার জন্য দেওয়ানি মামলা আবশ্যক।")*"*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IV. কথিত সংশোধনের সরকারি প্রতিফলন কোথায়? (The Missing Official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*আজও District Settlement Record Room-এ SA ২৩৮-এ Abdul Ali-এর নাম বহাল। বিবাদীপক্ষ কোনো সংশোধিত SA ২৩৮-এর certified copy দেখায়নি। এই তথ্যটি সম্পর্কে আমাদের precise evidentiary argument:*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"আমরা বলছি না যে corrected certified copy না থাকলেই correction অসম্ভব। আমরা বলছি — যে পক্ষ correction-এর উপর substantive title দাবি করছে, সে correction-এর authoritative existence, content এবং implementation নির্ভরযোগ্যভাবে প্রমাণ করার মতো অন্য কোনো documentary chain-ও উপস্থাপন করেনি।"</w:t>
      </w:r>
    </w:p>
    <w:p>
      <w:r>
        <w:rPr>
          <w:rFonts w:ascii="Kalpurush" w:cs="Kalpurush" w:eastAsia="Kalpurush" w:hAnsi="Kalpurush"/>
        </w:rPr>
        <w:t xml:space="preserve"/>
      </w:r>
    </w:p>
    <w:p>
      <w:r>
        <w:rPr>
          <w:rFonts w:ascii="Kalpurush" w:cs="Kalpurush" w:eastAsia="Kalpurush" w:hAnsi="Kalpurush"/>
          <w:sz w:val="20"/>
          <w:szCs w:val="20"/>
        </w:rPr>
        <w:t xml:space="preserve">*কিন্তু বর্তমান জেলা Settlement Record Room-এ সংরক্ষিত SA ২৩৮ নং খতিয়ানে আজও আব্দুল আলীর নামই এককভাবে বহাল। বিবাদীপক্ষ কোনো সংশোধিত SA ২৩৮ নং সইমোহরি কপি, সংশ্লিষ্ট alteration trail বা এমন কোনো সরকারি record দাখিল করতে পারেনি, যাহা দ্বারা alleged correction-এর authoritative legal effect নির্ভরযোগ্যভাবে নিরূপণ করা যায়।*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present authoritative record maintained in the District Settlement Record Room does not reflect Sona Bhanu as a recorded co-sharer in SA 238. Thus, the alleged 1969 correction is not merely unsupported by its parent order; its alleged substantive result is also not reflected in the present final SA record."</w:t>
      </w:r>
    </w:p>
    <w:p>
      <w:pPr>
        <w:ind w:left="720"/>
      </w:pPr>
      <w:r>
        <w:rPr>
          <w:rFonts w:ascii="Kalpurush" w:cs="Kalpurush" w:eastAsia="Kalpurush" w:hAnsi="Kalpurush"/>
          <w:i/>
          <w:iCs/>
          <w:sz w:val="20"/>
          <w:szCs w:val="20"/>
        </w:rPr>
        <w:t xml:space="preserve">*(বঙ্গানুবাদ: "জেলা সেটেলমেন্ট রেকর্ড রুমে সংরক্ষিত বর্তমান SA ২৩৮ নং রেকর্ডে সোনাভানু কোনো recorded co-sharer হিসেবে প্রতিফলিত নন। অতএব কথিত ১৯৬৯ সালের সংশোধন শুধু তার মূল আদেশ দ্বারা অপ্রমাণিতই নয়; সেই সংশোধনের কথিত substantive ফলাফলও বর্তমান চূড়ান্ত SA রেকর্ডে প্রতিফলিত নয়।")*</w:t>
      </w:r>
    </w:p>
    <w:p>
      <w:r>
        <w:rPr>
          <w:rFonts w:ascii="Kalpurush" w:cs="Kalpurush" w:eastAsia="Kalpurush" w:hAnsi="Kalpurush"/>
        </w:rPr>
        <w:t xml:space="preserve"/>
      </w:r>
    </w:p>
    <w:p>
      <w:r>
        <w:rPr>
          <w:rFonts w:ascii="Kalpurush" w:cs="Kalpurush" w:eastAsia="Kalpurush" w:hAnsi="Kalpurush"/>
          <w:sz w:val="20"/>
          <w:szCs w:val="20"/>
        </w:rPr>
        <w:t xml:space="preserve">*বিবাদীপক্ষ যদি বলেন যে AC Land ভলিউমের এন্ট্রিই সংশোধনের চূড়ান্ত প্রমাণ, তবে তাঁদের দেখাইতে হইবে — কীভাবে সেই এন্ট্রি আইনসঙ্গতভাবে SA ২৩৮-এর final record-এ কার্যকর পরিবর্তনে রূপান্তরিত হয়েছিল। কেবল একটি স্থানীয় রাজস্ব ভলিউমে এন্ট্রির অস্তিত্ব সেই প্রশ্নের উত্তর দেয়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"At the very least, the respondents were required to place before the Court sufficient documentary evidence from which the existence, contents and implementation of the alleged correction could be reliably ascertained. The absence of such documentary evidence is a factor the Court may take into account in assessing the overall evidentiary weight of the respondents' correction theory."</w:t>
      </w:r>
    </w:p>
    <w:p>
      <w:pPr>
        <w:ind w:left="720"/>
      </w:pPr>
      <w:r>
        <w:rPr>
          <w:rFonts w:ascii="Kalpurush" w:cs="Kalpurush" w:eastAsia="Kalpurush" w:hAnsi="Kalpurush"/>
          <w:i/>
          <w:iCs/>
          <w:sz w:val="20"/>
          <w:szCs w:val="20"/>
        </w:rPr>
        <w:t xml:space="preserve">*(বঙ্গানুবাদ: "ন্যূনতমপক্ষে বিবাদীপক্ষের দায়িত্ব ছিল আদালতের সামনে এমন পর্যাপ্ত দালিলিক সাক্ষ্য উপস্থাপন করা, যা দ্বারা কথিত সংশোধনের অস্তিত্ব, বিষয়বস্তু ও বাস্তবায়ন নির্ভরযোগ্যভাবে নিরূপণ করা যায়। এই দালিলিক সাক্ষ্যের অনুপস্থিতি বিবাদীপক্ষের সংশোধন তত্ত্বের সামগ্রিক সাক্ষ্যগত ওজন মূল্যায়নে আদালত বিবেচনায় নিতে পারেন।")*"*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 AC Land ভলিউম এন্ট্রি: প্রমাণিক গুরুত্ব ও Provenance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AC Land অফিসের রাজস্ব ভলিউমে থাকা এন্ট্রি সম্পর্কে আমাদের বিনীত অবস্থান:*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the AC Land volume is a genuine revenue record, the respondents must still establish its legal source, nature and authority to alter the substantive interest recorded in SA 238. A revenue volume entry cannot, merely by appearing in a government office book, acquire the evidentiary effect of a judicial or statutory correction order."</w:t>
      </w:r>
    </w:p>
    <w:p>
      <w:pPr>
        <w:ind w:left="720"/>
      </w:pPr>
      <w:r>
        <w:rPr>
          <w:rFonts w:ascii="Kalpurush" w:cs="Kalpurush" w:eastAsia="Kalpurush" w:hAnsi="Kalpurush"/>
          <w:i/>
          <w:iCs/>
          <w:sz w:val="20"/>
          <w:szCs w:val="20"/>
        </w:rPr>
        <w:t xml:space="preserve">*(বঙ্গানুবাদ: "এমনকি যদি ধরেও নেওয়া হয় যে এসি ল্যান্ড ভলিউম একটি প্রকৃত রাজস্ব রেকর্ড, তবুও বিবাদীপক্ষকে অবশ্যই এসএ ২৩৮-এ রেকর্ডকৃত মূল স্বত্ব পরিবর্তন করার আইনগত উৎস, প্রকৃতি ও কর্তৃত্ব প্রমাণ করতে হবে।")*</w:t>
      </w:r>
    </w:p>
    <w:p>
      <w:r>
        <w:rPr>
          <w:rFonts w:ascii="Kalpurush" w:cs="Kalpurush" w:eastAsia="Kalpurush" w:hAnsi="Kalpurush"/>
        </w:rPr>
        <w:t xml:space="preserve"/>
      </w:r>
    </w:p>
    <w:p>
      <w:r>
        <w:rPr>
          <w:rFonts w:ascii="Kalpurush" w:cs="Kalpurush" w:eastAsia="Kalpurush" w:hAnsi="Kalpurush"/>
          <w:sz w:val="20"/>
          <w:szCs w:val="20"/>
        </w:rPr>
        <w:t xml:space="preserve">*AC Land ভলিউম এন্ট্রি সম্পর্কে আমাদের precise legal position:*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AC Land volume does not, merely by reason of being a revenue record, enjoy the statutory presumption specifically attached by section 144A to a record-of-rights prepared or revised under section 144 of the SAT Act."</w:t>
      </w:r>
    </w:p>
    <w:p>
      <w:pPr>
        <w:ind w:left="720"/>
      </w:pPr>
      <w:r>
        <w:rPr>
          <w:rFonts w:ascii="Kalpurush" w:cs="Kalpurush" w:eastAsia="Kalpurush" w:hAnsi="Kalpurush"/>
          <w:i/>
          <w:iCs/>
          <w:sz w:val="20"/>
          <w:szCs w:val="20"/>
        </w:rPr>
        <w:t xml:space="preserve">*(বঙ্গানুবাদ: "এসি ল্যান্ড ভলিউম কেবল রাজস্ব রেকর্ড হওয়ার কারণেই এসএটি আইনের ১৪৪ ধারার অধীনে প্রস্তুতকৃত বা সংশোধিত খতিয়ানের সাথে ১৪৪A ধারা কর্তৃক সুনির্দিষ্টভাবে সংযুক্ত সংবিধিবদ্ধ অনুমান উপভোগ করে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DW-4-এর সাক্ষ্য (Evidence on Record):</w:t>
      </w:r>
    </w:p>
    <w:p>
      <w:r>
        <w:rPr>
          <w:rFonts w:ascii="Kalpurush" w:cs="Kalpurush" w:eastAsia="Kalpurush" w:hAnsi="Kalpurush"/>
          <w:sz w:val="20"/>
          <w:szCs w:val="20"/>
        </w:rPr>
        <w:t xml:space="preserve">*বিবাদীদের সাক্ষী DW-4 আদালতে স্বীকার করিয়াছেন যে —*</w:t>
      </w:r>
    </w:p>
    <w:p>
      <w:pPr>
        <w:pStyle w:val="ListParagraph"/>
        <w:numPr>
          <w:ilvl w:val="0"/>
          <w:numId w:val="1"/>
        </w:numPr>
      </w:pPr>
      <w:r>
        <w:rPr>
          <w:rFonts w:ascii="Kalpurush" w:cs="Kalpurush" w:eastAsia="Kalpurush" w:hAnsi="Kalpurush"/>
          <w:sz w:val="20"/>
          <w:szCs w:val="20"/>
        </w:rPr>
        <w:t xml:space="preserve">*তিনি entry-এর provenance ব্যাখ্যা বা underlying record দেখাতে সক্ষম হননি;*</w:t>
      </w:r>
    </w:p>
    <w:p>
      <w:pPr>
        <w:pStyle w:val="ListParagraph"/>
        <w:numPr>
          <w:ilvl w:val="0"/>
          <w:numId w:val="1"/>
        </w:numPr>
      </w:pPr>
      <w:r>
        <w:rPr>
          <w:rFonts w:ascii="Kalpurush" w:cs="Kalpurush" w:eastAsia="Kalpurush" w:hAnsi="Kalpurush"/>
          <w:sz w:val="20"/>
          <w:szCs w:val="20"/>
        </w:rPr>
        <w:t xml:space="preserve">*কোনো underlying file বা parent order প্রদর্শন করতে পারেননি;*</w:t>
      </w:r>
    </w:p>
    <w:p>
      <w:pPr>
        <w:pStyle w:val="ListParagraph"/>
        <w:numPr>
          <w:ilvl w:val="0"/>
          <w:numId w:val="1"/>
        </w:numPr>
      </w:pPr>
      <w:r>
        <w:rPr>
          <w:rFonts w:ascii="Kalpurush" w:cs="Kalpurush" w:eastAsia="Kalpurush" w:hAnsi="Kalpurush"/>
          <w:sz w:val="20"/>
          <w:szCs w:val="20"/>
        </w:rPr>
        <w:t xml:space="preserve">*এবং এন্ট্রিটি ভিন্ন কালিতে থাকার বিষয়টি স্বীকার করিয়াছেন — যা এন্ট্রির provenance এবং legal basis সম্পর্কে serious evidentiary doubt সৃষ্টি করে।*</w:t>
      </w:r>
    </w:p>
    <w:p>
      <w:r>
        <w:rPr>
          <w:rFonts w:ascii="Kalpurush" w:cs="Kalpurush" w:eastAsia="Kalpurush" w:hAnsi="Kalpurush"/>
        </w:rPr>
        <w:t xml:space="preserve"/>
      </w:r>
    </w:p>
    <w:p>
      <w:r>
        <w:rPr>
          <w:rFonts w:ascii="Kalpurush" w:cs="Kalpurush" w:eastAsia="Kalpurush" w:hAnsi="Kalpurush"/>
          <w:sz w:val="20"/>
          <w:szCs w:val="20"/>
        </w:rPr>
        <w:t xml:space="preserve">*প্রাসঙ্গিক আইনি নজির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*(এই নজিরের সারবস্তু: মূল আদেশ ব্যতীত ভলিউম নোট বা নামজারি এন্ট্রির আইনগত কার্যকারিতা প্রশ্নবিদ্ধ হয়। Counsel কে অনুরোধ: filing-এর পূর্বে original DLR report থেকে exact proposition ও ratio নিশ্চিত করিবেন।)*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*(এই নজিরের সারবস্তু: ভিন্ন কালি বা হস্তাক্ষরে এসএ খতিয়ানে কৃত পরিবর্তন parent judicial order ছাড়া আইনি কার্যকারিতা লাভ করে না। Counsel কে অনুরোধ: filing-এর পূর্বে original BLT report থেকে exact ratio নিশ্চিত করিবেন।)*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*(এই নজিরের সারবস্তু: প্রশাসনিক mutation note চূড়ান্ত প্রকাশিত রেকর্ডের সংবিধিবদ্ধ অনুমান বাতিল করতে পারে না। Counsel কে অনুরোধ: filing-এর পূর্বে original SCOB report থেকে exact ratio নিশ্চিত করিবেন।)*"*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 ১৯৭৫ সালের রেজিস্ট্রিকৃত দলিল (Deed No. 3596/1975) — দালিলিক বৈপরীত্য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theory:*</w:t>
      </w:r>
    </w:p>
    <w:p>
      <w:r>
        <w:rPr>
          <w:rFonts w:ascii="Kalpurush" w:cs="Kalpurush" w:eastAsia="Kalpurush" w:hAnsi="Kalpurush"/>
          <w:sz w:val="20"/>
          <w:szCs w:val="20"/>
        </w:rPr>
        <w:t xml:space="preserve">$$\text{Alleged 1969 correction} \longrightarrow \text{SA 238 effectively one dag (1259)}$$</w:t>
      </w:r>
    </w:p>
    <w:p>
      <w:r>
        <w:rPr>
          <w:rFonts w:ascii="Kalpurush" w:cs="Kalpurush" w:eastAsia="Kalpurush" w:hAnsi="Kalpurush"/>
        </w:rPr>
        <w:t xml:space="preserve"/>
      </w:r>
    </w:p>
    <w:p>
      <w:r>
        <w:rPr>
          <w:rFonts w:ascii="Kalpurush" w:cs="Kalpurush" w:eastAsia="Kalpurush" w:hAnsi="Kalpurush"/>
          <w:sz w:val="20"/>
          <w:szCs w:val="20"/>
        </w:rPr>
        <w:t xml:space="preserve">*কিন্তু তাহাদের নিজেদের রেজিস্ট্রিকৃত ৩৫৯৬/১৯৭৫ নং দলিলে (Exhibit Kha-1) SA ২৩৮-এর অধীনে ছয়টি দাগের বর্ণনা রহিয়াছে:*</w:t>
      </w:r>
    </w:p>
    <w:p>
      <w:r>
        <w:rPr>
          <w:rFonts w:ascii="Kalpurush" w:cs="Kalpurush" w:eastAsia="Kalpurush" w:hAnsi="Kalpurush"/>
          <w:sz w:val="20"/>
          <w:szCs w:val="20"/>
        </w:rPr>
        <w:t xml:space="preserve">$$\text{দাগসমূহ: ১২৫৯, ৭৫, ৩, ৫৪, ১২৫২ এবং ১২২০}$$</w:t>
      </w:r>
    </w:p>
    <w:p>
      <w:r>
        <w:rPr>
          <w:rFonts w:ascii="Kalpurush" w:cs="Kalpurush" w:eastAsia="Kalpurush" w:hAnsi="Kalpurush"/>
        </w:rPr>
        <w:t xml:space="preserve"/>
      </w:r>
    </w:p>
    <w:p>
      <w:r>
        <w:rPr>
          <w:rFonts w:ascii="Kalpurush" w:cs="Kalpurush" w:eastAsia="Kalpurush" w:hAnsi="Kalpurush"/>
          <w:sz w:val="20"/>
          <w:szCs w:val="20"/>
        </w:rPr>
        <w:t xml:space="preserve">*তাই আদালতের সামনে প্রশ্নটি খুব স্পষ্ট ও সুনির্দিষ্ট:*</w:t>
      </w:r>
    </w:p>
    <w:p>
      <w:pPr>
        <w:ind w:left="720"/>
      </w:pPr>
      <w:r>
        <w:rPr>
          <w:rFonts w:ascii="Kalpurush" w:cs="Kalpurush" w:eastAsia="Kalpurush" w:hAnsi="Kalpurush"/>
          <w:b/>
          <w:bCs/>
          <w:i/>
          <w:iCs/>
          <w:sz w:val="20"/>
          <w:szCs w:val="20"/>
        </w:rPr>
        <w:t xml:space="preserve">"If the alleged 1969 correction had reduced the SA 238 holding to one dag, why does the respondents' own registered deed of 1975 describe six dags under the same khatian?"</w:t>
      </w:r>
    </w:p>
    <w:p>
      <w:pPr>
        <w:ind w:left="720"/>
      </w:pPr>
      <w:r>
        <w:rPr>
          <w:rFonts w:ascii="Kalpurush" w:cs="Kalpurush" w:eastAsia="Kalpurush" w:hAnsi="Kalpurush"/>
          <w:i/>
          <w:iCs/>
          <w:sz w:val="20"/>
          <w:szCs w:val="20"/>
        </w:rPr>
        <w:t xml:space="preserve">*(বঙ্গানুবাদ: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w:t>
      </w:r>
    </w:p>
    <w:p>
      <w:pPr>
        <w:ind w:left="720"/>
      </w:pPr>
      <w:r>
        <w:rPr>
          <w:rFonts w:ascii="Kalpurush" w:cs="Kalpurush" w:eastAsia="Kalpurush" w:hAnsi="Kalpurush"/>
          <w:b/>
          <w:bCs/>
          <w:i/>
          <w:iCs/>
          <w:sz w:val="20"/>
          <w:szCs w:val="20"/>
        </w:rPr>
        <w:t xml:space="preserve">"The contradiction does not by itself prove fabrication, but it materially undermines the credibility and alleged operation of the one-dag correction theory."</w:t>
      </w:r>
    </w:p>
    <w:p>
      <w:pPr>
        <w:ind w:left="720"/>
      </w:pPr>
      <w:r>
        <w:rPr>
          <w:rFonts w:ascii="Kalpurush" w:cs="Kalpurush" w:eastAsia="Kalpurush" w:hAnsi="Kalpurush"/>
          <w:i/>
          <w:iCs/>
          <w:sz w:val="20"/>
          <w:szCs w:val="20"/>
        </w:rPr>
        <w:t xml:space="preserve">*(বঙ্গানুবাদ: "এই বৈপরীত্য নিজে থেকেই জালিয়াতি প্রমাণ করে না; তবে ইহা এক-দাগের কথিত সংশোধন তত্ত্বের বিশ্বাসযোগ্যতা ও কথিত আইনগত কার্যকারিতা সম্পর্কে গুরুতর সন্দেহ সৃষ্টি করে।")*</w:t>
      </w:r>
    </w:p>
    <w:p>
      <w:r>
        <w:rPr>
          <w:rFonts w:ascii="Kalpurush" w:cs="Kalpurush" w:eastAsia="Kalpurush" w:hAnsi="Kalpurush"/>
        </w:rPr>
        <w:t xml:space="preserve"/>
      </w:r>
    </w:p>
    <w:p>
      <w:r>
        <w:rPr>
          <w:rFonts w:ascii="Kalpurush" w:cs="Kalpurush" w:eastAsia="Kalpurush" w:hAnsi="Kalpurush"/>
          <w:sz w:val="20"/>
          <w:szCs w:val="20"/>
        </w:rPr>
        <w:t xml:space="preserve">*অন্ততপক্ষে, এই বৈপরীত্যের সন্তোষজনক ব্যাখ্যা না পাওয়া পর্যন্ত এক-দাগের কথিত সংশোধন তত্ত্বকে final SA record-এর বিরুদ্ধে নির্ভরযোগ্য rebuttal evidence হিসেবে গ্রহণ করা নিরাপদ নহে (Supporting Doctrine: Doctrine of Approbate and Reprobate)।"*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 ১৯৫৭ সালের দলিল (Deed No. 2398/1957) — সমসাময়িক দালিলিক সমর্থন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*২৩৯৮/১৯৫৭ নং রেজিস্ট্রিকৃত দলিলটি (প্রদর্শনী-২) SA জরিপকালীন সময়ের (১৯৫৬–১৯৬২) সমসাময়িক রেজিস্ট্রিকৃত দলিল।*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deed is corroborative of the contemporaneous documentary relationship of Abdul Ali with the very land later reflected in SA 238."</w:t>
      </w:r>
    </w:p>
    <w:p>
      <w:pPr>
        <w:ind w:left="720"/>
      </w:pPr>
      <w:r>
        <w:rPr>
          <w:rFonts w:ascii="Kalpurush" w:cs="Kalpurush" w:eastAsia="Kalpurush" w:hAnsi="Kalpurush"/>
          <w:i/>
          <w:iCs/>
          <w:sz w:val="20"/>
          <w:szCs w:val="20"/>
        </w:rPr>
        <w:t xml:space="preserve">*(বঙ্গানুবাদ: "উক্ত দলিলটি পরবর্তীতে এসএ ২৩৮ খতিয়ানে প্রতিফলিত একই নির্দিষ্ট জমির সঙ্গে আব্দুল আলীর সমসাময়িক দালিলিক সম্পর্ককে সমর্থন করে।")*</w:t>
      </w:r>
    </w:p>
    <w:p>
      <w:r>
        <w:rPr>
          <w:rFonts w:ascii="Kalpurush" w:cs="Kalpurush" w:eastAsia="Kalpurush" w:hAnsi="Kalpurush"/>
        </w:rPr>
        <w:t xml:space="preserve"/>
      </w:r>
    </w:p>
    <w:p>
      <w:r>
        <w:rPr>
          <w:rFonts w:ascii="Kalpurush" w:cs="Kalpurush" w:eastAsia="Kalpurush" w:hAnsi="Kalpurush"/>
          <w:sz w:val="20"/>
          <w:szCs w:val="20"/>
        </w:rPr>
        <w:t xml:space="preserve">*অতএব ২৩৯৮/১৯৫৭ নং দলিলটি SA ২৩৮-এর title source নহে; বরং SA operation চলাকালীন একই নির্দিষ্ট জমির সঙ্গে আব্দুল আলীর registered documentary relationship-এর একটি contemporaneous corroborative circumstance মাত্র।*</w:t>
      </w:r>
    </w:p>
    <w:p>
      <w:r>
        <w:rPr>
          <w:rFonts w:ascii="Kalpurush" w:cs="Kalpurush" w:eastAsia="Kalpurush" w:hAnsi="Kalpurush"/>
        </w:rPr>
        <w:t xml:space="preserve"/>
      </w:r>
    </w:p>
    <w:p>
      <w:r>
        <w:rPr>
          <w:rFonts w:ascii="Kalpurush" w:cs="Kalpurush" w:eastAsia="Kalpurush" w:hAnsi="Kalpurush"/>
          <w:sz w:val="20"/>
          <w:szCs w:val="20"/>
        </w:rPr>
        <w:t xml:space="preserve">*[Counsel-এর জন্য Factual Caveat: ৩ নং দাগের জমি SA ২৩৮-এর অন্তর্ভুক্ত এবং কোনো আলাদা SA parcha নেই — এই fact trial record-এর exhibit দিয়ে নিশ্চিত করিবেন। এই fact যদি exhibit থেকেই পরিষ্কার হয়, argument অনেক শক্তিশালী হইবে।]*</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যদি প্রশ্ন করেন — 'আপনারা যদি ১৯৩৪ সালের পত্তন দাবি না করেন, তবে আব্দুল আলীর স্বত্বের ভিত্তি কী?'*</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w:t>
      </w:r>
    </w:p>
    <w:p>
      <w:pPr>
        <w:ind w:left="720"/>
      </w:pPr>
      <w:r>
        <w:rPr>
          <w:rFonts w:ascii="Kalpurush" w:cs="Kalpurush" w:eastAsia="Kalpurush" w:hAnsi="Kalpurush"/>
          <w:b/>
          <w:bCs/>
          <w:i/>
          <w:iCs/>
          <w:sz w:val="20"/>
          <w:szCs w:val="20"/>
        </w:rPr>
        <w:t xml:space="preserve">"মহামান্য আদালত, আপীল্যান্টদের বর্তমান দাবি আব্দুল করিমের কথিত পত্তনের derivative claim নয়; অতএব বিবাদীদের competing root tenancy-কে বাদীর title-এর উৎস হিসেবে ধরে নিয়ে বাদীর উপর সেই root tenancy প্রমাণ বা খণ্ডনের অতিরিক্ত burden আরোপ করা সঠিক নয়। আমাদের প্রমাণের কেন্দ্রবিন্দু হলো রাষ্ট্রের Estate Acquisition-পরবর্তী State Recognition এবং finally published SA Record।"</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VIII. বিবাদীপক্ষের দাবিকৃত Competing Root Tenancy-র দালিলিক দুর্বলতা ও Fallback Argument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 যখন SA ২৩৮-এর বিপরীতে একটি competing root tenancy ও inheritance chain উত্থাপন করিতেছে, তখন সেই competing chain-এর foundational facts তাঁদেরই প্রমাণে প্রতিষ্ঠিত হইতে হবে; কেবল উক্ত chain-এর assertion দ্বারা final SA record-এর evidentiary effect নষ্ট হয় না।*</w:t>
      </w:r>
    </w:p>
    <w:p>
      <w:r>
        <w:rPr>
          <w:rFonts w:ascii="Kalpurush" w:cs="Kalpurush" w:eastAsia="Kalpurush" w:hAnsi="Kalpurush"/>
        </w:rPr>
        <w:t xml:space="preserve"/>
      </w:r>
    </w:p>
    <w:p>
      <w:r>
        <w:rPr>
          <w:rFonts w:ascii="Kalpurush" w:cs="Kalpurush" w:eastAsia="Kalpurush" w:hAnsi="Kalpurush"/>
          <w:sz w:val="20"/>
          <w:szCs w:val="20"/>
        </w:rPr>
        <w:t xml:space="preserve">*CS ২ নং খতিয়ানে পূর্বতন ব্যক্তিগত রায়তি স্বত্বের কোনো record নেই। জমিটি ঢাকা নবাব এস্টেটের খাস হিসেবে প্রতিফলিত। অতএব, বিবাদীপক্ষ যদি দাবি করে যে পরবর্তীতে ১৯৩৪ সালে আব্দুল করিম একটি স্বতন্ত্র উত্তরাধিকারযোগ্য রায়তি স্বত্ব অর্জন করেন, সেই পরিবর্তনের foundational document ও legal source তাঁদেরই প্রদর্শন করতে হবে।*</w:t>
      </w:r>
    </w:p>
    <w:p>
      <w:r>
        <w:rPr>
          <w:rFonts w:ascii="Kalpurush" w:cs="Kalpurush" w:eastAsia="Kalpurush" w:hAnsi="Kalpurush"/>
        </w:rPr>
        <w:t xml:space="preserve"/>
      </w:r>
    </w:p>
    <w:p>
      <w:r>
        <w:rPr>
          <w:rFonts w:ascii="Kalpurush" w:cs="Kalpurush" w:eastAsia="Kalpurush" w:hAnsi="Kalpurush"/>
          <w:sz w:val="20"/>
          <w:szCs w:val="20"/>
        </w:rPr>
        <w:t xml:space="preserve">*মহামান্য আপীল বিভাগের সুস্পষ্ট সিদ্ধান্ত —*</w:t>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*(এই নজিরের সারবস্তু: চিফ ম্যানেজারের লিখিত অনুমোদন ব্যতীত কোর্ট অব ওয়ার্ডস বা ঢাকা নবাব এস্টেটের কোনো বন্দোবস্ত বা খাজনা রসিদ শুরু থেকেই বাতিল এবং তা কোনো স্বত্ব প্রদান করে না। Counsel: filing-এর পূর্বে original BLC report থেকে exact ratio ও headnote verify করিবেন।)*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*(এই নজিরের সারবস্তু: অনিবন্ধিত পাট্টার মাধ্যমে যে স্বত্ব বা অধিকারই অর্জিত হোক, এস.এ.টি. আইনের ৮৬ ধারার অধীনে রাষ্ট্রীয় অধিগ্রহণের ফলে তা বিলুপ্ত। Counsel: filing-এর পূর্বে original SCOB report থেকে exact ratio verify করিবেন।)*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আপীল্যান্টপক্ষের Layer 2 Fallback Argument (সবচেয়ে শক্তিশালী অবস্থান):</w:t>
      </w:r>
    </w:p>
    <w:p>
      <w:pPr>
        <w:ind w:left="720"/>
      </w:pPr>
      <w:r>
        <w:rPr>
          <w:rFonts w:ascii="Kalpurush" w:cs="Kalpurush" w:eastAsia="Kalpurush" w:hAnsi="Kalpurush"/>
          <w:b/>
          <w:bCs/>
          <w:i/>
          <w:iCs/>
          <w:sz w:val="20"/>
          <w:szCs w:val="20"/>
        </w:rPr>
        <w:t xml:space="preserve">"মহামান্য আদালত, আমাদের present record-based claim আব্দুল করিমের alleged pattan থেকে derivative নয়। রাষ্ট্র Estate Acquisition-এর পর SA operation-এ আব্দুল আলীকে record করেছে। বিবাদীপক্ষই প্রথম SA ২৩৮-কে ভুল দাবি করে এবং আব্দুল করিমের competing root claim দাঁড় করায়। অতএব তাঁদের শুধু alleged root tenancy নয়, সেই root-এর ভিত্তিতে কীভাবে SA ২৩৮ displaced হলো — সেটিও প্রমাণ করতে হবে।</w:t>
      </w:r>
    </w:p>
    <w:p>
      <w:r>
        <w:rPr>
          <w:rFonts w:ascii="Kalpurush" w:cs="Kalpurush" w:eastAsia="Kalpurush" w:hAnsi="Kalpurush"/>
          <w:sz w:val="20"/>
          <w:szCs w:val="20"/>
        </w:rPr>
        <w:t xml:space="preserve">&gt;</w:t>
      </w:r>
    </w:p>
    <w:p>
      <w:pPr>
        <w:ind w:left="720"/>
      </w:pPr>
      <w:r>
        <w:rPr>
          <w:rFonts w:ascii="Kalpurush" w:cs="Kalpurush" w:eastAsia="Kalpurush" w:hAnsi="Kalpurush"/>
          <w:b/>
          <w:bCs/>
          <w:i/>
          <w:iCs/>
          <w:sz w:val="20"/>
          <w:szCs w:val="20"/>
        </w:rPr>
        <w:t xml:space="preserve">Even assuming, for argument's sake, that Abdul Karim had some pre-SA interest, that assumption does not by itself prove that Abdul Ali's finally published SA entry was wrong or that Sona Bhanu subsequently acquired a legally effective interest in SA 238."</w:t>
      </w:r>
    </w:p>
    <w:p>
      <w:r>
        <w:rPr>
          <w:rFonts w:ascii="Kalpurush" w:cs="Kalpurush" w:eastAsia="Kalpurush" w:hAnsi="Kalpurush"/>
          <w:sz w:val="20"/>
          <w:szCs w:val="20"/>
        </w:rPr>
        <w:t xml:space="preserve">&gt;</w:t>
      </w:r>
    </w:p>
    <w:p>
      <w:pPr>
        <w:ind w:left="720"/>
      </w:pPr>
      <w:r>
        <w:rPr>
          <w:rFonts w:ascii="Kalpurush" w:cs="Kalpurush" w:eastAsia="Kalpurush" w:hAnsi="Kalpurush"/>
          <w:i/>
          <w:iCs/>
          <w:sz w:val="20"/>
          <w:szCs w:val="20"/>
        </w:rPr>
        <w:t xml:space="preserve">*(বঙ্গানুবাদ: "তর্কের খাতিরে যদি ধরেও নেওয়া হয় যে প্রাক-এসএ আমলে আব্দুল করিমের কোনো স্বত্ব বা অধিকার ছিল, তবুও সেই অনুমান নিজে থেকেই প্রমাণ করে না যে চূড়ান্ত প্রকাশিত এসএ ২৩৮-এ আব্দুল আলীর একক রেকর্ড ভুল ছিল কিংবা পরবর্তীতে সোনাভানু এসএ ২৩৮-এ আইনত কার্যকর কোনো অংশ বা স্বত্ব অর্জন করেছিলেন।")*"*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IX. নজিরের সঠিক প্রয়োগ ও বাটোয়ারার আইনি কাঠামো (Precedent Analysis)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৯.১ Burden Allocation: Bilquis Jahan-এর principle-এর এই মামলায় সঠিক প্রয়োগ</w:t>
      </w:r>
    </w:p>
    <w:p>
      <w:r>
        <w:rPr>
          <w:rFonts w:ascii="Kalpurush" w:cs="Kalpurush" w:eastAsia="Kalpurush" w:hAnsi="Kalpurush"/>
        </w:rPr>
        <w:t xml:space="preserve"/>
      </w:r>
    </w:p>
    <w:p>
      <w:r>
        <w:rPr>
          <w:rFonts w:ascii="Kalpurush" w:cs="Kalpurush" w:eastAsia="Kalpurush" w:hAnsi="Kalpurush"/>
          <w:sz w:val="20"/>
          <w:szCs w:val="20"/>
        </w:rPr>
        <w:t xml:space="preserve">*বিজ্ঞ ট্রায়াল কোর্ট burden of proof-এর সাধারণ নীতি প্রয়োগকালে এই factual setting-এর বিশেষত্বটি যথাযথভাবে বিবেচনায় নেননি। বর্তমান ক্ষেত্রে বাদীপক্ষ final certified SA record দাখিল করিয়াছে এবং তাহার পেছনে Section 144A-এর statutory presumption বিদ্যমান। এই পরিস্থিতিতে burden of proof-এর সাধারণ principle-এর সঠিক প্রয়োগ হইল:*</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*respondents-এর affirmative correction theory — অর্থাৎ ১৯৬৯ সালে বিধিসম্মত সংশোধনের মাধ্যমে SA ২৩৮-এ আব্দুল আলীর interest displaced হওয়ার দাবি — নির্ভরযোগ্য সাক্ষ্য দ্বারা প্রতিষ্ঠা করার দায়িত্ব বিবাদীপক্ষেরই।*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p>
    <w:p>
      <w:pPr>
        <w:ind w:left="720"/>
      </w:pPr>
      <w:r>
        <w:rPr>
          <w:rFonts w:ascii="Kalpurush" w:cs="Kalpurush" w:eastAsia="Kalpurush" w:hAnsi="Kalpurush"/>
          <w:i/>
          <w:iCs/>
          <w:sz w:val="20"/>
          <w:szCs w:val="20"/>
        </w:rPr>
        <w:t xml:space="preserve">*(এই নজিরের সারবস্তু: trial court আইনে ভুল করেন যখন তিনি চ্যালেঞ্জকারীকে তার প্রমাণের দায়িত্বে আবদ্ধ না রেখে বাদীর ওপর প্রতিটি বিপরীত দাবি মিথ্যা প্রমাণের বোঝা চাপান। Counsel: filing-এর পূর্বে original DLR report থেকে exact ratio verify করিবেন।)*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৯.২ Chinmoy Chowdhury (23 BLD AD 83) ও Incidental Title:</w:t>
      </w:r>
    </w:p>
    <w:p>
      <w:r>
        <w:rPr>
          <w:rFonts w:ascii="Kalpurush" w:cs="Kalpurush" w:eastAsia="Kalpurush" w:hAnsi="Kalpurush"/>
        </w:rPr>
        <w:t xml:space="preserve"/>
      </w:r>
    </w:p>
    <w:p>
      <w:r>
        <w:rPr>
          <w:rFonts w:ascii="Kalpurush" w:cs="Kalpurush" w:eastAsia="Kalpurush" w:hAnsi="Kalpurush"/>
          <w:sz w:val="20"/>
          <w:szCs w:val="20"/>
        </w:rPr>
        <w:t xml:space="preserve">*আপিল বিভাগের এই নজির অনুযায়ী, বাটোয়ারা মামলার কাঠামোর মধ্যে incidental title questions adjudicate করা যায়; অতএব title dispute-এর অস্তিত্ব নিজে থেকে partition suit-কে অকার্যকর বা অচল করে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Chinmoy Chowdhury vs. Shanti Rani Chowdhury, 23 BLD (AD) 83:</w:t>
      </w:r>
    </w:p>
    <w:p>
      <w:pPr>
        <w:ind w:left="720"/>
      </w:pPr>
      <w:r>
        <w:rPr>
          <w:rFonts w:ascii="Kalpurush" w:cs="Kalpurush" w:eastAsia="Kalpurush" w:hAnsi="Kalpurush"/>
          <w:i/>
          <w:iCs/>
          <w:sz w:val="20"/>
          <w:szCs w:val="20"/>
        </w:rPr>
        <w:t xml:space="preserve">*(এই নজিরের সারবস্তু: বাটোয়ারা মামলায় পক্ষগণের অংশ নির্ধারণ ও পূর্ণাঙ্গ প্রতিকার প্রদানের লক্ষ্যে আনুষঙ্গিক স্বত্বের প্রশ্ন নিষ্পত্তির এখতিয়ার আদালতের আছে।*</w:t>
      </w:r>
    </w:p>
    <w:p>
      <w:r>
        <w:rPr>
          <w:rFonts w:ascii="Kalpurush" w:cs="Kalpurush" w:eastAsia="Kalpurush" w:hAnsi="Kalpurush"/>
          <w:sz w:val="20"/>
          <w:szCs w:val="20"/>
        </w:rPr>
        <w:t xml:space="preserve">&gt;</w:t>
      </w:r>
    </w:p>
    <w:p>
      <w:pPr>
        <w:ind w:left="720"/>
      </w:pPr>
      <w:r>
        <w:rPr>
          <w:rFonts w:ascii="Kalpurush" w:cs="Kalpurush" w:eastAsia="Kalpurush" w:hAnsi="Kalpurush"/>
          <w:i/>
          <w:iCs/>
          <w:sz w:val="20"/>
          <w:szCs w:val="20"/>
        </w:rPr>
        <w:t xml:space="preserve">*Counsel-এর জন্য বিশেষ নির্দেশনা: filing-এর পূর্বে এই নজিরের exact proposition, ratio decidendi এবং যে সুনির্দিষ্ট ভাষায় আপিল বিভাগ এই নীতি ঘোষণা করেছেন তা original BLD report থেকে নিশ্চিত করিবেন। উদ্ধৃতিচিহ্ন ব্যবহার করিবেন কেবল exact verified text-এর জন্য।)*"*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 সহায়ক পরিস্থিতিগত প্রমাণ ও গাণিতিক তথ্য (Internal Consistency Check)</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১০.১ সোনাভানুর অন্য ওয়ারিশদের বাদ পড়া (Selective Entry):</w:t>
      </w:r>
    </w:p>
    <w:p>
      <w:r>
        <w:rPr>
          <w:rFonts w:ascii="Kalpurush" w:cs="Kalpurush" w:eastAsia="Kalpurush" w:hAnsi="Kalpurush"/>
          <w:sz w:val="20"/>
          <w:szCs w:val="20"/>
        </w:rPr>
        <w:t xml:space="preserve">*যদি কথিত সংশোধনটি প্রকৃতপক্ষে উত্তরাধিকার নির্ধারণকারী বিচারিক আদেশের ফল হয়, তবে বিবাদীপক্ষকে ব্যাখ্যা করিতে হইবে কেন তাঁদের নিজেদের উত্তরাধিকার-তত্ত্ব অনুযায়ী দাবিকৃত অন্যান্য উত্তরাধিকারীদের (বেলুয়া ও কমলা) নাম একই সংশোধনে প্রতিফলিত হয়নি।*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১০.২ গাণিতিক তথ্য (Arithmetical Data — Judge-এর নিজস্ব মূল্যায়নের জন্য):</w:t>
      </w:r>
    </w:p>
    <w:p>
      <w:r>
        <w:rPr>
          <w:rFonts w:ascii="Kalpurush" w:cs="Kalpurush" w:eastAsia="Kalpurush" w:hAnsi="Kalpurush"/>
        </w:rPr>
        <w:t xml:space="preserve"/>
      </w:r>
    </w:p>
    <w:p>
      <w:r>
        <w:rPr>
          <w:rFonts w:ascii="Kalpurush" w:cs="Kalpurush" w:eastAsia="Kalpurush" w:hAnsi="Kalpurush"/>
          <w:sz w:val="20"/>
          <w:szCs w:val="20"/>
        </w:rPr>
        <w:t xml:space="preserve">*১২৫৯ দাগের সরকারি পরিমাপ:* </w:t>
      </w:r>
      <w:r>
        <w:rPr>
          <w:rFonts w:ascii="Kalpurush" w:cs="Kalpurush" w:eastAsia="Kalpurush" w:hAnsi="Kalpurush"/>
          <w:b/>
          <w:bCs/>
          <w:sz w:val="20"/>
          <w:szCs w:val="20"/>
        </w:rPr>
        <w:t xml:space="preserve">৪৭৭ শতাংশ।</w:t>
      </w:r>
    </w:p>
    <w:p>
      <w:r>
        <w:rPr>
          <w:rFonts w:ascii="Kalpurush" w:cs="Kalpurush" w:eastAsia="Kalpurush" w:hAnsi="Kalpurush"/>
        </w:rPr>
        <w:t xml:space="preserve"/>
      </w:r>
    </w:p>
    <w:p>
      <w:r>
        <w:rPr>
          <w:rFonts w:ascii="Kalpurush" w:cs="Kalpurush" w:eastAsia="Kalpurush" w:hAnsi="Kalpurush"/>
          <w:sz w:val="20"/>
          <w:szCs w:val="20"/>
        </w:rPr>
        <w:t xml:space="preserve">*বাদীপক্ষের তফসিল:* </w:t>
      </w:r>
      <w:r>
        <w:rPr>
          <w:rFonts w:ascii="Kalpurush" w:cs="Kalpurush" w:eastAsia="Kalpurush" w:hAnsi="Kalpurush"/>
          <w:b/>
          <w:bCs/>
          <w:sz w:val="20"/>
          <w:szCs w:val="20"/>
        </w:rPr>
        <w:t xml:space="preserve">৩৪০ শতাংশ</w:t>
      </w:r>
      <w:r>
        <w:rPr>
          <w:rFonts w:ascii="Kalpurush" w:cs="Kalpurush" w:eastAsia="Kalpurush" w:hAnsi="Kalpurush"/>
          <w:sz w:val="20"/>
          <w:szCs w:val="20"/>
        </w:rPr>
        <w:t xml:space="preserve"> নালিশী (বাদীদের দাবিকৃত অংশ) </w:t>
      </w:r>
      <w:r>
        <w:rPr>
          <w:rFonts w:ascii="Kalpurush" w:cs="Kalpurush" w:eastAsia="Kalpurush" w:hAnsi="Kalpurush"/>
          <w:b/>
          <w:bCs/>
          <w:sz w:val="20"/>
          <w:szCs w:val="20"/>
        </w:rPr>
        <w:t xml:space="preserve">+ ১৩৭ শতাংশ</w:t>
      </w:r>
      <w:r>
        <w:rPr>
          <w:rFonts w:ascii="Kalpurush" w:cs="Kalpurush" w:eastAsia="Kalpurush" w:hAnsi="Kalpurush"/>
          <w:sz w:val="20"/>
          <w:szCs w:val="20"/>
        </w:rPr>
        <w:t xml:space="preserve"> সরকারি খাস (তফসিলে বর্ণিত কিন্তু বাটোয়ারার বাইরে) </w:t>
      </w:r>
      <w:r>
        <w:rPr>
          <w:rFonts w:ascii="Kalpurush" w:cs="Kalpurush" w:eastAsia="Kalpurush" w:hAnsi="Kalpurush"/>
          <w:b/>
          <w:bCs/>
          <w:sz w:val="20"/>
          <w:szCs w:val="20"/>
        </w:rPr>
        <w:t xml:space="preserve">= ৪৭৭ শতাংশ।</w:t>
      </w:r>
    </w:p>
    <w:p>
      <w:r>
        <w:rPr>
          <w:rFonts w:ascii="Kalpurush" w:cs="Kalpurush" w:eastAsia="Kalpurush" w:hAnsi="Kalpurush"/>
        </w:rPr>
        <w:t xml:space="preserve"/>
      </w:r>
    </w:p>
    <w:p>
      <w:r>
        <w:rPr>
          <w:rFonts w:ascii="Kalpurush" w:cs="Kalpurush" w:eastAsia="Kalpurush" w:hAnsi="Kalpurush"/>
          <w:sz w:val="20"/>
          <w:szCs w:val="20"/>
        </w:rPr>
        <w:t xml:space="preserve">*বিবাদীপক্ষের দাবিকৃত পরিমাণ:* </w:t>
      </w:r>
      <w:r>
        <w:rPr>
          <w:rFonts w:ascii="Kalpurush" w:cs="Kalpurush" w:eastAsia="Kalpurush" w:hAnsi="Kalpurush"/>
          <w:b/>
          <w:bCs/>
          <w:sz w:val="20"/>
          <w:szCs w:val="20"/>
        </w:rPr>
        <w:t xml:space="preserve">৩৪৯ শতাংশ + ১৩৭ শতাংশ = ৪৮৬ শতাংশ।</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"This is not our principal title argument; it is presented as a factual data point for the Court's own assessment of the internal consistency of the respondents' acreage narrative."</w:t>
      </w:r>
    </w:p>
    <w:p>
      <w:pPr>
        <w:ind w:left="720"/>
      </w:pPr>
      <w:r>
        <w:rPr>
          <w:rFonts w:ascii="Kalpurush" w:cs="Kalpurush" w:eastAsia="Kalpurush" w:hAnsi="Kalpurush"/>
          <w:i/>
          <w:iCs/>
          <w:sz w:val="20"/>
          <w:szCs w:val="20"/>
        </w:rPr>
        <w:t xml:space="preserve">*(বঙ্গানুবাদ: "ইহা আমাদের প্রধান স্বত্বের যুক্তি নহে; বরং ইহা বিবাদীপক্ষের জমির পরিমাণ সংক্রান্ত বর্ণনার অভ্যন্তরীণ সামঞ্জস্য সম্পর্কে আদালতের নিজস্ব মূল্যায়নের জন্য উপস্থাপিত একটি তথ্য।")*"*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 Hotchpot, পক্ষদোষ ও ১নং রেসপন্ডেন্টের সোলেনামা</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*১. একই দাগ নম্বরের মধ্যে সরকারি খাস জমি পৃথক খতিয়ানে এবং SA ২৩৮-এর জমি পৃথক রেকর্ডীয় পরিচয়ে বিদ্যমান। The alleged Government land is neither claimed by the plaintiffs nor sought to be partitioned. পৃথক খতিয়ানের জমি বাদ দিলে আংশিক বাটোয়ারার কোনো দোষ ঘটে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pPr>
        <w:ind w:left="720"/>
      </w:pPr>
      <w:r>
        <w:rPr>
          <w:rFonts w:ascii="Kalpurush" w:cs="Kalpurush" w:eastAsia="Kalpurush" w:hAnsi="Kalpurush"/>
          <w:i/>
          <w:iCs/>
          <w:sz w:val="20"/>
          <w:szCs w:val="20"/>
        </w:rPr>
        <w:t xml:space="preserve">*(বঙ্গানুবাদ: "পৃথক খতিয়ান পৃথক প্রজাস্বত্ব সৃষ্টি করে; সংলগ্ন সরকারি জমি বা ভিন্ন খতিয়ানের জমি বাদ দিলে আংশিক বাটোয়ারার কোনো দোষ সৃষ্টি হয় না।")*</w:t>
      </w:r>
    </w:p>
    <w:p>
      <w:r>
        <w:rPr>
          <w:rFonts w:ascii="Kalpurush" w:cs="Kalpurush" w:eastAsia="Kalpurush" w:hAnsi="Kalpurush"/>
        </w:rPr>
        <w:t xml:space="preserve"/>
      </w:r>
    </w:p>
    <w:p>
      <w:r>
        <w:rPr>
          <w:rFonts w:ascii="Kalpurush" w:cs="Kalpurush" w:eastAsia="Kalpurush" w:hAnsi="Kalpurush"/>
          <w:sz w:val="20"/>
          <w:szCs w:val="20"/>
        </w:rPr>
        <w:t xml:space="preserve">*২. প্রাইভেট কো-শেয়ারারদের মধ্যে বাটোয়ারা মামলায় সরকার আবশ্যকীয় পক্ষ নহে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pPr>
        <w:ind w:left="720"/>
      </w:pPr>
      <w:r>
        <w:rPr>
          <w:rFonts w:ascii="Kalpurush" w:cs="Kalpurush" w:eastAsia="Kalpurush" w:hAnsi="Kalpurush"/>
          <w:i/>
          <w:iCs/>
          <w:sz w:val="20"/>
          <w:szCs w:val="20"/>
        </w:rPr>
        <w:t xml:space="preserve">*(বঙ্গানুবাদ: "সহ-অংশীদারদের মধ্যে ব্যক্তিগত বাটোয়ারা মামলায় সরকার আবশ্যকীয় পক্ষ নয়, যেখানে রাষ্ট্রের বিরুদ্ধে কোনো প্রতিকার চাওয়া হয়নি।")*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w:t>
      </w:r>
    </w:p>
    <w:p>
      <w:pPr>
        <w:ind w:left="720"/>
      </w:pPr>
      <w:r>
        <w:rPr>
          <w:rFonts w:ascii="Kalpurush" w:cs="Kalpurush" w:eastAsia="Kalpurush" w:hAnsi="Kalpurush"/>
          <w:i/>
          <w:iCs/>
          <w:sz w:val="20"/>
          <w:szCs w:val="20"/>
        </w:rPr>
        <w:t xml:space="preserve">*(বঙ্গানুবাদ: "বাদ পড়া পক্ষ আবশ্যকীয় পক্ষ না হলে কেবল পক্ষদোষের কারণে বাটোয়ারা মামলা খারিজ হতে পারে না।")*</w:t>
      </w:r>
    </w:p>
    <w:p>
      <w:r>
        <w:rPr>
          <w:rFonts w:ascii="Kalpurush" w:cs="Kalpurush" w:eastAsia="Kalpurush" w:hAnsi="Kalpurush"/>
        </w:rPr>
        <w:t xml:space="preserve"/>
      </w:r>
    </w:p>
    <w:p>
      <w:r>
        <w:rPr>
          <w:rFonts w:ascii="Kalpurush" w:cs="Kalpurush" w:eastAsia="Kalpurush" w:hAnsi="Kalpurush"/>
          <w:sz w:val="20"/>
          <w:szCs w:val="20"/>
        </w:rPr>
        <w:t xml:space="preserve">*৩. ১ নং রেসপন্ডেন্ট সোলায়মান হোসেনের অবস্থান:*</w:t>
      </w:r>
    </w:p>
    <w:p>
      <w:pPr>
        <w:ind w:left="720"/>
      </w:pPr>
      <w:r>
        <w:rPr>
          <w:rFonts w:ascii="Kalpurush" w:cs="Kalpurush" w:eastAsia="Kalpurush" w:hAnsi="Kalpurush"/>
          <w:i/>
          <w:iCs/>
          <w:sz w:val="20"/>
          <w:szCs w:val="20"/>
        </w:rPr>
        <w:t xml:space="preserve">*"এখানে contesting defendants-এর একাংশের বিরোধ এবং Abdul Ali-এর বৈধ উত্তরাধিকারীদের অবস্থান এক নয়। ১ নং respondent Solaiman Hossain — Abdul Ali-এর উত্তরাধিকারী — বাটোয়ারায় সম্মতি দিয়েছেন (CPC Order XXIII Rule 3)। ফলে আদালতের সামনে প্রকৃত contest মূলত alleged competing title-claimants-এর।"*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 ট্রায়াল কোর্টের সিদ্ধান্ত বনাম আপীল ভুলের তুলনামূলক ছক (Finding vs. Error Matrix)</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সিদ্ধান্ত ও আপীল ভুলসমূহকে নিম্নের তুলনামূলক ছকে স্পষ্টভাবে তুলে ধরা হলো:*</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w:t>
            </w:r>
          </w:p>
        </w:tc>
        <w:tc>
          <w:p>
            <w:r>
              <w:rPr>
                <w:rFonts w:ascii="Kalpurush" w:cs="Kalpurush" w:eastAsia="Kalpurush" w:hAnsi="Kalpurush"/>
                <w:sz w:val="20"/>
                <w:szCs w:val="20"/>
              </w:rPr>
              <w:t xml:space="preserve">Appellate Error</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sz w:val="20"/>
                <w:szCs w:val="20"/>
              </w:rPr>
              <w:t xml:space="preserve">Foundation presumed, proved নয়। পাট্টা/কবুলিয়ত বা প্রাথমিক দলিলের অনুপস্থিতি বিবেচনায় নেওয়া হয়নি। *(Counsel: Impugned Judgment-এর যে নির্দিষ্ট Page/Para-তে এই finding আছে তা বসাবেন।)*</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sz w:val="20"/>
                <w:szCs w:val="20"/>
              </w:rPr>
              <w:t xml:space="preserve">Section 144A-এর rebuttable presumption যথাযথ evidentiary standard-এ খণ্ডিত না হয়েই বিবাদীদের correction theory গৃহীত হয়েছে। *(Counsel: Impugned Judgment-এর যে নির্দিষ্ট Page/Para তা বসাবেন।)*</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sz w:val="20"/>
                <w:szCs w:val="20"/>
              </w:rPr>
              <w:t xml:space="preserve">The impugned judgment does not identify, with reference to any produced parent order or certified correction record, the legal source and implementation by which the AC Land entry displaced the finally published SA 238. *(Counsel: Impugned Judgment-এর সংশ্লিষ্ট Page/Para তা বসাবেন।)*</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sz w:val="20"/>
                <w:szCs w:val="20"/>
              </w:rPr>
              <w:t xml:space="preserve">AC Land volume entry-র legal source, provenance, jurisdictional basis এবং implementation trail যথাযথভাবে নির্ধারণ না করিয়া চূড়ান্ত ROR-এর উপরে স্থান দেওয়া হয়েছে। Section 144A-এর statutory presumption-এর বিপরীতে যে evidentiary standard দরকার তা পূরণ হয়নি।</w:t>
            </w:r>
          </w:p>
        </w:tc>
      </w:tr>
      <w:tr>
        <w:tc>
          <w:p>
            <w:r>
              <w:rPr>
                <w:rFonts w:ascii="Kalpurush" w:cs="Kalpurush" w:eastAsia="Kalpurush" w:hAnsi="Kalpurush"/>
                <w:sz w:val="20"/>
                <w:szCs w:val="20"/>
              </w:rPr>
              <w:t xml:space="preserve">৫. ১৯৭৫ দলিলের বৈপরীত্য উপেক্ষিত</w:t>
            </w:r>
          </w:p>
        </w:tc>
        <w:tc>
          <w:p>
            <w:r>
              <w:rPr>
                <w:rFonts w:ascii="Kalpurush" w:cs="Kalpurush" w:eastAsia="Kalpurush" w:hAnsi="Kalpurush"/>
                <w:sz w:val="20"/>
                <w:szCs w:val="20"/>
              </w:rPr>
              <w:t xml:space="preserve">Material documentary evidence not properly considered. Exhibit Kha-1 (Deed 3596/1975)-এ ৬ দাগ বনাম কথিত ১ দাগের স্ববিরোধিতার ব্যাখ্যা judgment-এ নেই।</w:t>
            </w:r>
          </w:p>
        </w:tc>
      </w:tr>
      <w:tr>
        <w:tc>
          <w:p>
            <w:r>
              <w:rPr>
                <w:rFonts w:ascii="Kalpurush" w:cs="Kalpurush" w:eastAsia="Kalpurush" w:hAnsi="Kalpurush"/>
                <w:sz w:val="20"/>
                <w:szCs w:val="20"/>
              </w:rPr>
              <w:t xml:space="preserve">৬. Hotchpot/Non-joinder-এ খারিজ</w:t>
            </w:r>
          </w:p>
        </w:tc>
        <w:tc>
          <w:p>
            <w:r>
              <w:rPr>
                <w:rFonts w:ascii="Kalpurush" w:cs="Kalpurush" w:eastAsia="Kalpurush" w:hAnsi="Kalpurush"/>
                <w:sz w:val="20"/>
                <w:szCs w:val="20"/>
              </w:rPr>
              <w:t xml:space="preserve">পৃথক খতিয়ান এবং সরকারি জমি বাটোয়ারার বাইরে থাকা সত্ত্বেও technical objection-কে fatal ধরা হয়েছে।</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XIII. সমাপনী মৌখিক নিবেদন ও প্রার্থিত প্রতিকার (Closing Prayer)</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দাবিকৃত 'সংশোধন' নির্ভরযোগ্য সাক্ষ্যে প্রমাণিত হয়নি, তাহাদের ভলিউম এন্ট্রির জন্য Section 144A-এর presumption দাবি করা যায় না, এবং তাহাদের নিজেদের দলিল তাহাদের correction theory-কেই প্রশ্নবিদ্ধ করিতেছে:*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"My Lord, the respondents may have a theory; but a theory is not rebuttal evidence."</w:t>
      </w:r>
    </w:p>
    <w:p>
      <w:pPr>
        <w:ind w:left="720"/>
      </w:pPr>
      <w:r>
        <w:rPr>
          <w:rFonts w:ascii="Kalpurush" w:cs="Kalpurush" w:eastAsia="Kalpurush" w:hAnsi="Kalpurush"/>
          <w:i/>
          <w:iCs/>
          <w:sz w:val="20"/>
          <w:szCs w:val="20"/>
        </w:rPr>
        <w:t xml:space="preserve">*(বঙ্গানুবাদ: "মহামান্য আদালত, বিবাদীপক্ষের একটি মৌখিক তত্ত্ব থাকিতে পারে; কিন্তু কোনো তত্ত্ব কখনো সংবিধিবদ্ধ রেকর্ডের বিরুদ্ধে নির্ভরযোগ্য খণ্ডনকারী সাক্ষ্য হইতে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pPr>
        <w:ind w:left="720"/>
      </w:pPr>
      <w:r>
        <w:rPr>
          <w:rFonts w:ascii="Kalpurush" w:cs="Kalpurush" w:eastAsia="Kalpurush" w:hAnsi="Kalpurush"/>
          <w:i/>
          <w:iCs/>
          <w:sz w:val="20"/>
          <w:szCs w:val="20"/>
        </w:rPr>
        <w:t xml:space="preserve">*(বঙ্গানুবাদ: "আমরা আদালতকে চূড়ান্তভাবে প্রকাশিত এসএ রেকর্ড কখনো ভুল হতে পারে না — এমন সিদ্ধান্ত দিতে বলছি না। আমরা আদালতকে বিনীতভাবে বলছি যে পক্ষ ওই রেকর্ডকে চ্যালেঞ্জ করছে, তাদের কাছে প্রমাণ চাইতে — কীভাবে, কখন এবং কোন বৈধ দলিলের মাধ্যমে সেই রেকর্ড অপসারিত হয়েছিল।")*</w:t>
      </w:r>
    </w:p>
    <w:p>
      <w:r>
        <w:rPr>
          <w:rFonts w:ascii="Kalpurush" w:cs="Kalpurush" w:eastAsia="Kalpurush" w:hAnsi="Kalpurush"/>
        </w:rPr>
        <w:t xml:space="preserve"/>
      </w:r>
    </w:p>
    <w:p>
      <w:r>
        <w:rPr>
          <w:rFonts w:ascii="Kalpurush" w:cs="Kalpurush" w:eastAsia="Kalpurush" w:hAnsi="Kalpurush"/>
          <w:sz w:val="20"/>
          <w:szCs w:val="20"/>
        </w:rPr>
        <w:t xml:space="preserve">*বিবাদীপক্ষ সেই প্রমাণ দিতে সম্পূর্ণ ব্যর্থ হইয়াছে। অতএব বিজ্ঞ বিচারিক আদালতের ০৫-০৪-২০২৬ তারিখের খারিজ রায় আইনত টিকিয়া থাকিতে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রেকর্ডে বিদ্যমান প্রমাণ পুনর্মূল্যায়ন করিয়া সখিপুর সিভিল জজ আদালতের ০৫/০৪/২০২৬ তারিখের Judgment এবং ০৯/০৪/২০২৬ তারিখের Decree বাতিল ও রহিত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বর্তমানে বহাল ও কার্যকর SA ২৩৮ নং খতিয়ান এবং ১ নং রেসপন্ডেন্টের সোলেনামার ভিত্তিতে আপীল্যান্ট বাদীপক্ষের অনুকূলে বাটোয়ারার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 বিকল্পে (In the alternative):</w:t>
      </w:r>
      <w:r>
        <w:rPr>
          <w:rFonts w:ascii="Kalpurush" w:cs="Kalpurush" w:eastAsia="Kalpurush" w:hAnsi="Kalpurush"/>
          <w:sz w:val="20"/>
          <w:szCs w:val="20"/>
        </w:rPr>
        <w:t xml:space="preserve"> CPC Order XLI Rule 23/23A অনুযায়ী মামলাটি বিচারিক আদালতে রিমান্ড (Remand) করিয়া বাদীপক্ষকে আরজি সংশোধন (Order VI Rule 17) ও আবশ্যকীয় পক্ষ সংযোজনের (Order I Rule 10(2)) সুযোগ প্রদানপূর্বক merits-এ চূড়ান্ত রায় প্রদানের নির্দেশ দেওয়া হউক; এবং</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সার্বিক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বিজ্ঞ কৌসুলির জন্য চূড়ান্ত যাচাইকরণ তালিকা (Counsel's Mandatory Pre-Filing Checklist)</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Citation Verification (সর্বোচ্চ অগ্রাধিকার):</w:t>
      </w:r>
      <w:r>
        <w:rPr>
          <w:rFonts w:ascii="Kalpurush" w:cs="Kalpurush" w:eastAsia="Kalpurush" w:hAnsi="Kalpurush"/>
          <w:sz w:val="20"/>
          <w:szCs w:val="20"/>
        </w:rPr>
        <w:t xml:space="preserve"> নিচের নজিরগুলোর exact ratio, headnote ও কোটেশন original print report (DLR/BLD/BLT/SCOB) থেকে বাধ্যতামূলকভাবে মিলিয়ে নিতে হইবে — বিশেষত </w:t>
      </w:r>
      <w:r>
        <w:rPr>
          <w:rFonts w:ascii="Kalpurush" w:cs="Kalpurush" w:eastAsia="Kalpurush" w:hAnsi="Kalpurush"/>
          <w:b/>
          <w:bCs/>
          <w:sz w:val="20"/>
          <w:szCs w:val="20"/>
        </w:rPr>
        <w:t xml:space="preserve">Chinmoy Chowdhury (23 BLD AD 83)</w:t>
      </w:r>
      <w:r>
        <w:rPr>
          <w:rFonts w:ascii="Kalpurush" w:cs="Kalpurush" w:eastAsia="Kalpurush" w:hAnsi="Kalpurush"/>
          <w:sz w:val="20"/>
          <w:szCs w:val="20"/>
        </w:rPr>
        <w:t xml:space="preserve">, </w:t>
      </w:r>
      <w:r>
        <w:rPr>
          <w:rFonts w:ascii="Kalpurush" w:cs="Kalpurush" w:eastAsia="Kalpurush" w:hAnsi="Kalpurush"/>
          <w:b/>
          <w:bCs/>
          <w:sz w:val="20"/>
          <w:szCs w:val="20"/>
        </w:rPr>
        <w:t xml:space="preserve">Bilquis Jahan (75 DLR 383)</w:t>
      </w:r>
      <w:r>
        <w:rPr>
          <w:rFonts w:ascii="Kalpurush" w:cs="Kalpurush" w:eastAsia="Kalpurush" w:hAnsi="Kalpurush"/>
          <w:sz w:val="20"/>
          <w:szCs w:val="20"/>
        </w:rPr>
        <w:t xml:space="preserve">, </w:t>
      </w:r>
      <w:r>
        <w:rPr>
          <w:rFonts w:ascii="Kalpurush" w:cs="Kalpurush" w:eastAsia="Kalpurush" w:hAnsi="Kalpurush"/>
          <w:b/>
          <w:bCs/>
          <w:sz w:val="20"/>
          <w:szCs w:val="20"/>
        </w:rPr>
        <w:t xml:space="preserve">Shahera Khatun (53 DLR 19)</w:t>
      </w:r>
      <w:r>
        <w:rPr>
          <w:rFonts w:ascii="Kalpurush" w:cs="Kalpurush" w:eastAsia="Kalpurush" w:hAnsi="Kalpurush"/>
          <w:sz w:val="20"/>
          <w:szCs w:val="20"/>
        </w:rPr>
        <w:t xml:space="preserve">, </w:t>
      </w:r>
      <w:r>
        <w:rPr>
          <w:rFonts w:ascii="Kalpurush" w:cs="Kalpurush" w:eastAsia="Kalpurush" w:hAnsi="Kalpurush"/>
          <w:b/>
          <w:bCs/>
          <w:sz w:val="20"/>
          <w:szCs w:val="20"/>
        </w:rPr>
        <w:t xml:space="preserve">Fazlur Rahman (1 BLT HD 18)</w:t>
      </w:r>
      <w:r>
        <w:rPr>
          <w:rFonts w:ascii="Kalpurush" w:cs="Kalpurush" w:eastAsia="Kalpurush" w:hAnsi="Kalpurush"/>
          <w:sz w:val="20"/>
          <w:szCs w:val="20"/>
        </w:rPr>
        <w:t xml:space="preserve"> এবং </w:t>
      </w:r>
      <w:r>
        <w:rPr>
          <w:rFonts w:ascii="Kalpurush" w:cs="Kalpurush" w:eastAsia="Kalpurush" w:hAnsi="Kalpurush"/>
          <w:b/>
          <w:bCs/>
          <w:sz w:val="20"/>
          <w:szCs w:val="20"/>
        </w:rPr>
        <w:t xml:space="preserve">Harun-al-Rashid (12 BLC AD 79)</w:t>
      </w:r>
      <w:r>
        <w:rPr>
          <w:rFonts w:ascii="Kalpurush" w:cs="Kalpurush" w:eastAsia="Kalpurush" w:hAnsi="Kalpurush"/>
          <w:sz w:val="20"/>
          <w:szCs w:val="20"/>
        </w:rPr>
        <w:t xml:space="preserve">। যেসব quotation এখনো original report থেকে verified নয়, সেগুলো filing-এ quotation marks ব্যবহার না করিয়া paraphrase হিসেবে উপস্থাপন করিবেন।</w:t>
      </w:r>
    </w:p>
    <w:p>
      <w:r>
        <w:rPr>
          <w:rFonts w:ascii="Kalpurush" w:cs="Kalpurush" w:eastAsia="Kalpurush" w:hAnsi="Kalpurush"/>
        </w:rPr>
        <w:t xml:space="preserve"/>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Trial Court Record Mapping (বাধ্যতামূলক):</w:t>
      </w:r>
      <w:r>
        <w:rPr>
          <w:rFonts w:ascii="Kalpurush" w:cs="Kalpurush" w:eastAsia="Kalpurush" w:hAnsi="Kalpurush"/>
          <w:sz w:val="20"/>
          <w:szCs w:val="20"/>
        </w:rPr>
        <w:t xml:space="preserve"> ট্রায়াল কোর্টের রায়ের প্রতিটি finding-এর পাশে এই ড্রাফটে </w:t>
      </w:r>
      <w:r>
        <w:rPr>
          <w:rFonts w:ascii="Kalpurush" w:cs="Kalpurush" w:eastAsia="Kalpurush" w:hAnsi="Kalpurush"/>
          <w:b/>
          <w:bCs/>
          <w:sz w:val="20"/>
          <w:szCs w:val="20"/>
        </w:rPr>
        <w:t xml:space="preserve">exact page/paragraph reference</w:t>
      </w:r>
      <w:r>
        <w:rPr>
          <w:rFonts w:ascii="Kalpurush" w:cs="Kalpurush" w:eastAsia="Kalpurush" w:hAnsi="Kalpurush"/>
          <w:sz w:val="20"/>
          <w:szCs w:val="20"/>
        </w:rPr>
        <w:t xml:space="preserve"> বসাতে হইবে (যেমন: *Impugned Judgment, Page 14, Para 3*)। Finding vs. Error Matrix-এর প্রতিটি row-এ bracket-এ page/para বসাবেন।</w:t>
      </w:r>
    </w:p>
    <w:p>
      <w:r>
        <w:rPr>
          <w:rFonts w:ascii="Kalpurush" w:cs="Kalpurush" w:eastAsia="Kalpurush" w:hAnsi="Kalpurush"/>
        </w:rPr>
        <w:t xml:space="preserve"/>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Section 145A Scope Check:</w:t>
      </w:r>
      <w:r>
        <w:rPr>
          <w:rFonts w:ascii="Kalpurush" w:cs="Kalpurush" w:eastAsia="Kalpurush" w:hAnsi="Kalpurush"/>
          <w:sz w:val="20"/>
          <w:szCs w:val="20"/>
        </w:rPr>
        <w:t xml:space="preserve"> SAT Act-এর Section 145A-এর exact scope এবং Land Survey Tribunal-এর এখতিয়ার সম্পর্কে সাম্প্রতিক আপিল বিভাগের রায় থাকলে তা চেক করিবেন। এই draft-এর jurisdictional framing ইচ্ছাকৃতভাবে cautious রাখা হইয়াছে।</w:t>
      </w:r>
    </w:p>
    <w:p>
      <w:r>
        <w:rPr>
          <w:rFonts w:ascii="Kalpurush" w:cs="Kalpurush" w:eastAsia="Kalpurush" w:hAnsi="Kalpurush"/>
        </w:rPr>
        <w:t xml:space="preserve"/>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1957 Deed Exhibit Verification:</w:t>
      </w:r>
      <w:r>
        <w:rPr>
          <w:rFonts w:ascii="Kalpurush" w:cs="Kalpurush" w:eastAsia="Kalpurush" w:hAnsi="Kalpurush"/>
          <w:sz w:val="20"/>
          <w:szCs w:val="20"/>
        </w:rPr>
        <w:t xml:space="preserve"> ৩ নং দাগের জমি SA ২৩৮-এর অন্তর্ভুক্ত এবং কোনো আলাদা SA parcha নেই — এই fact trial record-এর exhibit থেকে নিশ্চিত করিবেন।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The Locked Hierarchy — ১২-ধাপের চূড়ান্ত কাঠামো (শুনানির মূল ক্রম)</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SA 238-এর statutory presumption</w:t>
      </w:r>
      <w:r>
        <w:rPr>
          <w:rFonts w:ascii="Kalpurush" w:cs="Kalpurush" w:eastAsia="Kalpurush" w:hAnsi="Kalpurush"/>
          <w:sz w:val="20"/>
          <w:szCs w:val="20"/>
        </w:rPr>
        <w:t xml:space="preserve"> (Section 144A)</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Respondents assert correction</w:t>
      </w:r>
      <w:r>
        <w:rPr>
          <w:rFonts w:ascii="Kalpurush" w:cs="Kalpurush" w:eastAsia="Kalpurush" w:hAnsi="Kalpurush"/>
          <w:sz w:val="20"/>
          <w:szCs w:val="20"/>
        </w:rPr>
        <w:t xml:space="preserve"> (১৯৬৯ সালের কথিত সংশোধন)</w:t>
      </w:r>
    </w:p>
    <w:p>
      <w:r>
        <w:rPr>
          <w:rFonts w:ascii="Kalpurush" w:cs="Kalpurush" w:eastAsia="Kalpurush" w:hAnsi="Kalpurush"/>
          <w:sz w:val="20"/>
          <w:szCs w:val="20"/>
        </w:rPr>
        <w:t xml:space="preserve">③. </w:t>
      </w:r>
      <w:r>
        <w:rPr>
          <w:rFonts w:ascii="Kalpurush" w:cs="Kalpurush" w:eastAsia="Kalpurush" w:hAnsi="Kalpurush"/>
          <w:b/>
          <w:bCs/>
          <w:sz w:val="20"/>
          <w:szCs w:val="20"/>
        </w:rPr>
        <w:t xml:space="preserve">Layer 1: Abdul Karim root</w:t>
      </w:r>
      <w:r>
        <w:rPr>
          <w:rFonts w:ascii="Kalpurush" w:cs="Kalpurush" w:eastAsia="Kalpurush" w:hAnsi="Kalpurush"/>
          <w:sz w:val="20"/>
          <w:szCs w:val="20"/>
        </w:rPr>
        <w:t xml:space="preserve"> — নির্ভরযোগ্যভাবে প্রতিষ্ঠিত?</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Layer 2: Even assuming root, how did it displace Abdul Ali?</w:t>
      </w:r>
      <w:r>
        <w:rPr>
          <w:rFonts w:ascii="Kalpurush" w:cs="Kalpurush" w:eastAsia="Kalpurush" w:hAnsi="Kalpurush"/>
          <w:sz w:val="20"/>
          <w:szCs w:val="20"/>
        </w:rPr>
        <w:t xml:space="preserve"> — displacement-এর আইনগত প্রমাণ কোথায়?</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Misc Case parent order কোথায়?</w:t>
      </w:r>
      <w:r>
        <w:rPr>
          <w:rFonts w:ascii="Kalpurush" w:cs="Kalpurush" w:eastAsia="Kalpurush" w:hAnsi="Kalpurush"/>
          <w:sz w:val="20"/>
          <w:szCs w:val="20"/>
        </w:rPr>
        <w:t xml:space="preserve"> — existence, certified copy</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Contents/jurisdiction/notice/implementation-এর নির্ভরযোগ্য evidence কী?</w:t>
      </w:r>
    </w:p>
    <w:p>
      <w:r>
        <w:rPr>
          <w:rFonts w:ascii="Kalpurush" w:cs="Kalpurush" w:eastAsia="Kalpurush" w:hAnsi="Kalpurush"/>
          <w:sz w:val="20"/>
          <w:szCs w:val="20"/>
        </w:rPr>
        <w:t xml:space="preserve">৭. </w:t>
      </w:r>
      <w:r>
        <w:rPr>
          <w:rFonts w:ascii="Kalpurush" w:cs="Kalpurush" w:eastAsia="Kalpurush" w:hAnsi="Kalpurush"/>
          <w:b/>
          <w:bCs/>
          <w:sz w:val="20"/>
          <w:szCs w:val="20"/>
        </w:rPr>
        <w:t xml:space="preserve">District Record Room-এ correction-এর authoritative manifestation কোথায়?</w:t>
      </w:r>
    </w:p>
    <w:p>
      <w:r>
        <w:rPr>
          <w:rFonts w:ascii="Kalpurush" w:cs="Kalpurush" w:eastAsia="Kalpurush" w:hAnsi="Kalpurush"/>
          <w:sz w:val="20"/>
          <w:szCs w:val="20"/>
        </w:rPr>
        <w:t xml:space="preserve">৮. </w:t>
      </w:r>
      <w:r>
        <w:rPr>
          <w:rFonts w:ascii="Kalpurush" w:cs="Kalpurush" w:eastAsia="Kalpurush" w:hAnsi="Kalpurush"/>
          <w:b/>
          <w:bCs/>
          <w:sz w:val="20"/>
          <w:szCs w:val="20"/>
        </w:rPr>
        <w:t xml:space="preserve">সংশোধিত certified SA 238 কোথায়?</w:t>
      </w:r>
      <w:r>
        <w:rPr>
          <w:rFonts w:ascii="Kalpurush" w:cs="Kalpurush" w:eastAsia="Kalpurush" w:hAnsi="Kalpurush"/>
          <w:sz w:val="20"/>
          <w:szCs w:val="20"/>
        </w:rPr>
        <w:t xml:space="preserve"> — No corrected ROR produced</w:t>
      </w:r>
    </w:p>
    <w:p>
      <w:r>
        <w:rPr>
          <w:rFonts w:ascii="Kalpurush" w:cs="Kalpurush" w:eastAsia="Kalpurush" w:hAnsi="Kalpurush"/>
          <w:sz w:val="20"/>
          <w:szCs w:val="20"/>
        </w:rPr>
        <w:t xml:space="preserve">৯. </w:t>
      </w:r>
      <w:r>
        <w:rPr>
          <w:rFonts w:ascii="Kalpurush" w:cs="Kalpurush" w:eastAsia="Kalpurush" w:hAnsi="Kalpurush"/>
          <w:b/>
          <w:bCs/>
          <w:sz w:val="20"/>
          <w:szCs w:val="20"/>
        </w:rPr>
        <w:t xml:space="preserve">AC Land volume provenance কী?</w:t>
      </w:r>
      <w:r>
        <w:rPr>
          <w:rFonts w:ascii="Kalpurush" w:cs="Kalpurush" w:eastAsia="Kalpurush" w:hAnsi="Kalpurush"/>
          <w:sz w:val="20"/>
          <w:szCs w:val="20"/>
        </w:rPr>
        <w:t xml:space="preserve"> — Section 144A presumption দাবি করা যায় না</w:t>
      </w:r>
    </w:p>
    <w:p>
      <w:r>
        <w:rPr>
          <w:rFonts w:ascii="Kalpurush" w:cs="Kalpurush" w:eastAsia="Kalpurush" w:hAnsi="Kalpurush"/>
          <w:sz w:val="20"/>
          <w:szCs w:val="20"/>
        </w:rPr>
        <w:t xml:space="preserve">১০. </w:t>
      </w:r>
      <w:r>
        <w:rPr>
          <w:rFonts w:ascii="Kalpurush" w:cs="Kalpurush" w:eastAsia="Kalpurush" w:hAnsi="Kalpurush"/>
          <w:b/>
          <w:bCs/>
          <w:sz w:val="20"/>
          <w:szCs w:val="20"/>
        </w:rPr>
        <w:t xml:space="preserve">1975 deed-এর six-dag contradiction</w:t>
      </w:r>
      <w:r>
        <w:rPr>
          <w:rFonts w:ascii="Kalpurush" w:cs="Kalpurush" w:eastAsia="Kalpurush" w:hAnsi="Kalpurush"/>
          <w:sz w:val="20"/>
          <w:szCs w:val="20"/>
        </w:rPr>
        <w:t xml:space="preserve"> — correction theory-র internal inconsistency</w:t>
      </w:r>
    </w:p>
    <w:p>
      <w:r>
        <w:rPr>
          <w:rFonts w:ascii="Kalpurush" w:cs="Kalpurush" w:eastAsia="Kalpurush" w:hAnsi="Kalpurush"/>
          <w:sz w:val="20"/>
          <w:szCs w:val="20"/>
        </w:rPr>
        <w:t xml:space="preserve">১১. </w:t>
      </w:r>
      <w:r>
        <w:rPr>
          <w:rFonts w:ascii="Kalpurush" w:cs="Kalpurush" w:eastAsia="Kalpurush" w:hAnsi="Kalpurush"/>
          <w:b/>
          <w:bCs/>
          <w:sz w:val="20"/>
          <w:szCs w:val="20"/>
        </w:rPr>
        <w:t xml:space="preserve">Hotchpot/Non-joinder secondary issues</w:t>
      </w:r>
      <w:r>
        <w:rPr>
          <w:rFonts w:ascii="Kalpurush" w:cs="Kalpurush" w:eastAsia="Kalpurush" w:hAnsi="Kalpurush"/>
          <w:sz w:val="20"/>
          <w:szCs w:val="20"/>
        </w:rPr>
        <w:t xml:space="preserve"> — পৃথক খতিয়ান, সরকার necessary party নয়</w:t>
      </w:r>
    </w:p>
    <w:p>
      <w:r>
        <w:rPr>
          <w:rFonts w:ascii="Kalpurush" w:cs="Kalpurush" w:eastAsia="Kalpurush" w:hAnsi="Kalpurush"/>
          <w:sz w:val="20"/>
          <w:szCs w:val="20"/>
        </w:rPr>
        <w:t xml:space="preserve">১২. </w:t>
      </w:r>
      <w:r>
        <w:rPr>
          <w:rFonts w:ascii="Kalpurush" w:cs="Kalpurush" w:eastAsia="Kalpurush" w:hAnsi="Kalpurush"/>
          <w:b/>
          <w:bCs/>
          <w:sz w:val="20"/>
          <w:szCs w:val="20"/>
        </w:rPr>
        <w:t xml:space="preserve">Relief</w:t>
      </w:r>
      <w:r>
        <w:rPr>
          <w:rFonts w:ascii="Kalpurush" w:cs="Kalpurush" w:eastAsia="Kalpurush" w:hAnsi="Kalpurush"/>
          <w:sz w:val="20"/>
          <w:szCs w:val="20"/>
        </w:rPr>
        <w:t xml:space="preserve"> — Primary: Preliminary Decree; Alternative: Remand under Order XLI Rule 23/23A</w:t>
      </w:r>
    </w:p>
    <w:p>
      <w:r>
        <w:rPr>
          <w:rFonts w:ascii="Kalpurush" w:cs="Kalpurush" w:eastAsia="Kalpurush" w:hAnsi="Kalpurush"/>
        </w:rPr>
        <w:t xml:space="preserve"/>
      </w:r>
    </w:p>
    <w:p>
      <w:r>
        <w:rPr>
          <w:rFonts w:ascii="Kalpurush" w:cs="Kalpurush" w:eastAsia="Kalpurush" w:hAnsi="Kalpurush"/>
          <w:sz w:val="20"/>
          <w:szCs w:val="20"/>
        </w:rPr>
        <w:t xml:space="preserve">*(Note: 1957 deed থাকিবে SA 238-এর corroborative circumstance হিসেবে Step 3 ও 4-এর মধ্যে, মূল title-source হিসেবে নয়।)*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2026-08-15T10:32:21.244Z</dcterms:created>
  <dcterms:modified xsi:type="dcterms:W3CDTF">2026-08-15T10:32:21.244Z</dcterms:modified>
</cp:coreProperties>
</file>

<file path=docProps/custom.xml><?xml version="1.0" encoding="utf-8"?>
<Properties xmlns="http://schemas.openxmlformats.org/officeDocument/2006/custom-properties" xmlns:vt="http://schemas.openxmlformats.org/officeDocument/2006/docPropsVTypes"/>
</file>