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86 — Disciplined Oral Hearing Aid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Record):</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রেকর্ড চূড়ান্তভাবে প্রকাশিত হয়। বর্তমানে জেলা Settlement Record Room-এ সংরক্ষিত সইমোহরি SA ২৩৮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Evidentiary Advantage):</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entry presumed to be correct — যতক্ষণ না নির্ভরযোগ্য সাক্ষ্যে ভুল প্রমাণিত হয়; এটি rebuttable presumption, conclusive নয়। বাদীপক্ষ final certified SA ২৩৮ রেকর্ড দাখিলের মাধ্যমে এই statutory presumption-এর সুবিধা গ্রহণের প্রাথমিক ভিত্তি প্রতিষ্ঠা করিয়াছে। SA ২৩৮ হলো evidentiary starting point — বিবাদীপক্ষকে তাহাদের affirmative displacement theory নির্ভরযোগ্য সাক্ষ্যে প্রমাণ করিতে হইবে।"*</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এবং — সবচেয়ে গুরুত্বপূর্ণ — কথিত আদেশের ভিত্তিতে বাস্তবে কীভাবে এবং কোন সরকারি record-এর মাধ্যমে SA position পরিবর্তিত হয়েছিল, তার নির্ভরযোগ্য documentary evidence কোথায়?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অথচ তাহাদের নিজেদেরই সম্পাদিত ও রেজিস্ট্রিকৃত ৩৫৯৬/১৯৭৫ নং দলিলে (Exhibit Kha-1) SA ২৩৮ খতিয়ানের অধীনে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ছয়টি দাগের বর্ণনা কেন?) The contradiction does not by itself prove fabrication, but it materially undermines the credibility of the one-dag correction theory. (বঙ্গানুবাদ: এই বৈপরীত্য নিজে থেকেই জালিয়াতি প্রমাণ করে না, কিন্তু এক-দাগের সংশোধন তত্ত্বের বিশ্বাসযোগ্যতা গুরুতরভাবে দুর্বল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(২) Misc Case-এর legal source, contents ও implementation যাচাই না করিয়া আইনি ফলাফল প্রতিষ্ঠিত ধরা, (৩) AC Land ভলিউম এন্ট্রিকে আইনগত উৎস যাচাই ব্যতীত ROR-এর উপরে স্থান দেওয়া, এবং (৪) নিজস্ব দলিলের গুরুতর বৈপরীত্য ও গাণিতিক অসামঞ্জস্য বিবেচনায় না নেওয়া। অতএব ট্রায়াল কোর্টের খারিজ রায় বাতিল করিয়া প্রাথমিক ডিক্রি প্রদানই ন্যায়বিচারের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এখতিয়ারগত স্পষ্টীকরণ (Jurisdictional Clarification)</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এই আপীলে SA ২৩৮ সংশোধন বা বাতিলের জন্য কোনো independent relief প্রার্থনা করা হইতেছে না; বরং বিবাদীপক্ষের প্রতিরক্ষার ভিত্তি হিসেবে কথিত ১৯৬৯ সালের সংশোধন আদৌ নির্ভরযোগ্য সাক্ষ্যে প্রমাণিত এবং এই বাটোয়ারা মামলার title dispute-এ আইনগতভাবে কার্যকর হয়েছিল কি না, সেই প্রশ্নের evidentiary sufficiency পরীক্ষা করা হইতেছে।"*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Two-Layer Test (আপীলের মূল আইনি কাঠামো)</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Layer 1 (Competing Root):</w:t>
      </w:r>
      <w:r>
        <w:rPr>
          <w:rFonts w:ascii="Kalpurush" w:cs="Kalpurush" w:eastAsia="Kalpurush" w:hAnsi="Kalpurush"/>
          <w:sz w:val="20"/>
          <w:szCs w:val="20"/>
        </w:rPr>
        <w:t xml:space="preserve"> আব্দুল করিম কি পূর্বে এমন কোনো legally cognizable tenancy interest </w:t>
      </w:r>
      <w:r>
        <w:rPr>
          <w:rFonts w:ascii="Kalpurush" w:cs="Kalpurush" w:eastAsia="Kalpurush" w:hAnsi="Kalpurush"/>
          <w:b/>
          <w:bCs/>
          <w:sz w:val="20"/>
          <w:szCs w:val="20"/>
        </w:rPr>
        <w:t xml:space="preserve">নির্ভরযোগ্যভাবে</w:t>
      </w:r>
      <w:r>
        <w:rPr>
          <w:rFonts w:ascii="Kalpurush" w:cs="Kalpurush" w:eastAsia="Kalpurush" w:hAnsi="Kalpurush"/>
          <w:sz w:val="20"/>
          <w:szCs w:val="20"/>
        </w:rPr>
        <w:t xml:space="preserve"> অর্জন করিয়াছিলেন, যার উত্তরাধিকার সোনাভানুর দিকে যায়?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Layer 2 (Displacement) — আসল শক্তি:</w:t>
      </w:r>
      <w:r>
        <w:rPr>
          <w:rFonts w:ascii="Kalpurush" w:cs="Kalpurush" w:eastAsia="Kalpurush" w:hAnsi="Kalpurush"/>
          <w:sz w:val="20"/>
          <w:szCs w:val="20"/>
        </w:rPr>
        <w:t xml:space="preserve"> যদি এমন কোনো interest থাকিয়াও থাকে, তবে তাহা কীভাবে আইনসম্মতভাবে আব্দুল আলীর চূড়ান্তভাবে প্রকাশিত SA entry-কে displace করিয়া সোনাভানুর জন্য বর্তমান বলবৎযোগ্য স্বত্ব সৃষ্টি করিল?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that proposition for argument's sake, it does not by itself establish that Abdul Ali's finally published SA entry was wrong, nor does it establish the lawful creation of a present enforceable interest in Sona Bhanu."</w:t>
      </w:r>
    </w:p>
    <w:p>
      <w:pPr>
        <w:ind w:left="720"/>
      </w:pPr>
      <w:r>
        <w:rPr>
          <w:rFonts w:ascii="Kalpurush" w:cs="Kalpurush" w:eastAsia="Kalpurush" w:hAnsi="Kalpurush"/>
          <w:i/>
          <w:iCs/>
          <w:sz w:val="20"/>
          <w:szCs w:val="20"/>
        </w:rPr>
        <w:t xml:space="preserve">*(বঙ্গানুবাদ: "তর্কের খাতিরে যদি সেই দাবি মেনেও নেওয়া হয়, তবু তাহা নিজে থেকেই প্রমাণ করে না যে আব্দুল আলীর চূড়ান্তভাবে প্রকাশিত SA entry ভুল ছিল, এবং তাহা সোনাভানুর জন্য বর্তমান বলবৎযোগ্য স্বত্ব সৃষ্টির বৈধতাও প্রতিষ্ঠিত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Evidentiary Checklist: কথিত সংশোধনের ৫টি গুরুত্বপূর্ণ প্রশ্ন</w:t>
      </w:r>
    </w:p>
    <w:p>
      <w:r>
        <w:rPr>
          <w:rFonts w:ascii="Kalpurush" w:cs="Kalpurush" w:eastAsia="Kalpurush" w:hAnsi="Kalpurush"/>
        </w:rPr>
        <w:t xml:space="preserve"/>
      </w:r>
    </w:p>
    <w:p>
      <w:r>
        <w:rPr>
          <w:rFonts w:ascii="Kalpurush" w:cs="Kalpurush" w:eastAsia="Kalpurush" w:hAnsi="Kalpurush"/>
          <w:sz w:val="20"/>
          <w:szCs w:val="20"/>
        </w:rPr>
        <w:t xml:space="preserve">*(এগুলো statutory mandatory checklist নয়; বিবাদীপক্ষের affirmative correction theory-র evidentiary sufficiency-র স্বাভাবিক পরীক্ষা)*</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Existence:</w:t>
      </w:r>
      <w:r>
        <w:rPr>
          <w:rFonts w:ascii="Kalpurush" w:cs="Kalpurush" w:eastAsia="Kalpurush" w:hAnsi="Kalpurush"/>
          <w:sz w:val="20"/>
          <w:szCs w:val="20"/>
        </w:rPr>
        <w:t xml:space="preserve"> কথিত Misc Case-এর সার্টিফাইড কপি বা মূল ফাইল কোথায়?</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Contents:</w:t>
      </w:r>
      <w:r>
        <w:rPr>
          <w:rFonts w:ascii="Kalpurush" w:cs="Kalpurush" w:eastAsia="Kalpurush" w:hAnsi="Kalpurush"/>
          <w:sz w:val="20"/>
          <w:szCs w:val="20"/>
        </w:rPr>
        <w:t xml:space="preserve"> আদেশটির সুনির্দিষ্ট বিষয়বস্তু কী ছিল?</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Jurisdiction:</w:t>
      </w:r>
      <w:r>
        <w:rPr>
          <w:rFonts w:ascii="Kalpurush" w:cs="Kalpurush" w:eastAsia="Kalpurush" w:hAnsi="Kalpurush"/>
          <w:sz w:val="20"/>
          <w:szCs w:val="20"/>
        </w:rPr>
        <w:t xml:space="preserve"> Misc Case-এ কি title adjudication-এর এখতিয়ার ছিল?</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Notice:</w:t>
      </w:r>
      <w:r>
        <w:rPr>
          <w:rFonts w:ascii="Kalpurush" w:cs="Kalpurush" w:eastAsia="Kalpurush" w:hAnsi="Kalpurush"/>
          <w:sz w:val="20"/>
          <w:szCs w:val="20"/>
        </w:rPr>
        <w:t xml:space="preserve"> রেকর্ডভুক্ত প্রজা আব্দুল আলীকে নোটিশ দেওয়া হয়েছিল?</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Implementation:</w:t>
      </w:r>
      <w:r>
        <w:rPr>
          <w:rFonts w:ascii="Kalpurush" w:cs="Kalpurush" w:eastAsia="Kalpurush" w:hAnsi="Kalpurush"/>
          <w:sz w:val="20"/>
          <w:szCs w:val="20"/>
        </w:rPr>
        <w:t xml:space="preserve"> কথিত আদেশের ভিত্তিতে বাস্তবে কীভাবে এবং কোন সরকারি record-এর মাধ্যমে SA position পরিবর্তিত হয়েছিল, তার নির্ভরযোগ্য evidence 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District Record Room-এ আজও Abdul Ali-এর নাম বহাল। বিবাদীপক্ষ কোনো সংশোধিত SA ২৩৮-এর certified copy দেখায়নি।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AC Land Volume-এর সুনির্দিষ্ট আইনগত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AC Land volume does not, merely by reason of being a revenue record, enjoy the statutory presumption specifically attached by section 144A to a record-of-rights prepared or revised under section 144 of the SAT Act."</w:t>
      </w:r>
    </w:p>
    <w:p>
      <w:pPr>
        <w:ind w:left="720"/>
      </w:pPr>
      <w:r>
        <w:rPr>
          <w:rFonts w:ascii="Kalpurush" w:cs="Kalpurush" w:eastAsia="Kalpurush" w:hAnsi="Kalpurush"/>
          <w:i/>
          <w:iCs/>
          <w:sz w:val="20"/>
          <w:szCs w:val="20"/>
        </w:rPr>
        <w:t xml:space="preserve">*(বঙ্গানুবাদ: "এসি ল্যান্ড ভলিউম কেবল রাজস্ব রেকর্ড হওয়ার কারণেই এসএটি আইনের ১৪৪ ধারার অধীনে প্রস্তুতকৃত খতিয়ানের সাথে ১৪৪A ধারা কর্তৃক সংযুক্ত সংবিধিবদ্ধ অনুমান উপভোগ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পাঠযোগ্য প্রধান নজিরের সারবস্তু ও বঙ্গানুবাদ</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সারবস্তু ও বঙ্গানুবাদ</w:t>
            </w:r>
          </w:p>
        </w:tc>
        <w:tc>
          <w:p>
            <w:r>
              <w:rPr>
                <w:rFonts w:ascii="Kalpurush" w:cs="Kalpurush" w:eastAsia="Kalpurush" w:hAnsi="Kalpurush"/>
                <w:sz w:val="20"/>
                <w:szCs w:val="20"/>
              </w:rPr>
              <w:t xml:space="preserve">Counsel-এর নির্দেশনা</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published...has a presumption of correctness...till rebutted by reliable evidence."&lt;br&gt;*(চূড়ান্ত প্রকাশিত খতিয়ানের পেছনে সংবিধিবদ্ধ নির্ভুলতার অনুমান বিদ্যমান এবং নির্ভরযোগ্য সাক্ষ্য দ্বারা খণ্ডন না হওয়া পর্যন্ত অব্যাহত থাকে।)*</w:t>
            </w:r>
          </w:p>
        </w:tc>
        <w:tc>
          <w:p>
            <w:r>
              <w:rPr>
                <w:rFonts w:ascii="Kalpurush" w:cs="Kalpurush" w:eastAsia="Kalpurush" w:hAnsi="Kalpurush"/>
                <w:sz w:val="20"/>
                <w:szCs w:val="20"/>
              </w:rPr>
              <w:t xml:space="preserve">Verified — exact quote ব্যবহারযোগ্য</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rights...carry a statutory presumption of correctness which must be rebutted by positive and reliable evidence."&lt;br&gt;*(খতিয়ান সংবিধিবদ্ধ অনুমান বহন করে, যা ইতিবাচক ও নির্ভরযোগ্য সাক্ষ্য দ্বারা খণ্ডন করতে হবে।)*</w:t>
            </w:r>
          </w:p>
        </w:tc>
        <w:tc>
          <w:p>
            <w:r>
              <w:rPr>
                <w:rFonts w:ascii="Kalpurush" w:cs="Kalpurush" w:eastAsia="Kalpurush" w:hAnsi="Kalpurush"/>
                <w:sz w:val="20"/>
                <w:szCs w:val="20"/>
              </w:rPr>
              <w:t xml:space="preserve">Verified — exact quote ব্যবহারযোগ্য</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party."&lt;br&gt;*(খতিয়ানের ভুল প্রমাণের সম্পূর্ণ দায়ভার চ্যালেঞ্জকারীর ওপর।)*</w:t>
            </w:r>
          </w:p>
        </w:tc>
        <w:tc>
          <w:p>
            <w:r>
              <w:rPr>
                <w:rFonts w:ascii="Kalpurush" w:cs="Kalpurush" w:eastAsia="Kalpurush" w:hAnsi="Kalpurush"/>
                <w:sz w:val="20"/>
                <w:szCs w:val="20"/>
              </w:rPr>
              <w:t xml:space="preserve">Verified — exact quote ব্যবহারযোগ্য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সারবস্তু: trial court আইনে ভুল করেন যখন challenger-এর onus যথাযথভাবে পরীক্ষা না করে বাদীর উপর পাল্টা দাবি খণ্ডনের বোঝা দেন।</w:t>
            </w:r>
          </w:p>
        </w:tc>
        <w:tc>
          <w:p>
            <w:r>
              <w:rPr>
                <w:rFonts w:ascii="Kalpurush" w:cs="Kalpurush" w:eastAsia="Kalpurush" w:hAnsi="Kalpurush"/>
                <w:b/>
                <w:bCs/>
                <w:sz w:val="20"/>
                <w:szCs w:val="20"/>
              </w:rPr>
              <w:t xml:space="preserve">⚠️ Filing-এর আগে original DLR report থেকে exact ratio verify করিবেন</w:t>
            </w:r>
          </w:p>
        </w:tc>
      </w:tr>
      <w:tr>
        <w:tc>
          <w:p>
            <w:r>
              <w:rPr>
                <w:rFonts w:ascii="Kalpurush" w:cs="Kalpurush" w:eastAsia="Kalpurush" w:hAnsi="Kalpurush"/>
                <w:b/>
                <w:bCs/>
                <w:sz w:val="20"/>
                <w:szCs w:val="20"/>
              </w:rPr>
              <w:t xml:space="preserve">23 BLD (AD) 83</w:t>
            </w:r>
            <w:r>
              <w:rPr>
                <w:rFonts w:ascii="Kalpurush" w:cs="Kalpurush" w:eastAsia="Kalpurush" w:hAnsi="Kalpurush"/>
                <w:sz w:val="20"/>
                <w:szCs w:val="20"/>
              </w:rPr>
              <w:t xml:space="preserve"> *(Chinmoy Chowdhury)*</w:t>
            </w:r>
          </w:p>
        </w:tc>
        <w:tc>
          <w:p>
            <w:r>
              <w:rPr>
                <w:rFonts w:ascii="Kalpurush" w:cs="Kalpurush" w:eastAsia="Kalpurush" w:hAnsi="Kalpurush"/>
                <w:sz w:val="20"/>
                <w:szCs w:val="20"/>
              </w:rPr>
              <w:t xml:space="preserve">সারবস্তু: বাটোয়ারা মামলায় incidental title questions নিষ্পত্তির এখতিয়ার আদালতের আছে।</w:t>
            </w:r>
          </w:p>
        </w:tc>
        <w:tc>
          <w:p>
            <w:r>
              <w:rPr>
                <w:rFonts w:ascii="Kalpurush" w:cs="Kalpurush" w:eastAsia="Kalpurush" w:hAnsi="Kalpurush"/>
                <w:b/>
                <w:bCs/>
                <w:sz w:val="20"/>
                <w:szCs w:val="20"/>
              </w:rPr>
              <w:t xml:space="preserve">⚠️ Filing-এর আগে original BLD report থেকে exact proposition verify করিবেন; verified না হলে quotation marks ছাড়া paraphrase করিবেন</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suit."&lt;br&gt;*(মিস মোকদ্দমায় স্বত্বের প্রশ্ন নিষ্পত্তি করা যায় না।)*</w:t>
            </w:r>
          </w:p>
        </w:tc>
        <w:tc>
          <w:p>
            <w:r>
              <w:rPr>
                <w:rFonts w:ascii="Kalpurush" w:cs="Kalpurush" w:eastAsia="Kalpurush" w:hAnsi="Kalpurush"/>
                <w:b/>
                <w:bCs/>
                <w:sz w:val="20"/>
                <w:szCs w:val="20"/>
              </w:rPr>
              <w:t xml:space="preserve">⚠️ Filing-এর আগে original BLD report verify করিবেন</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সারবস্তু: মূল আদেশ ব্যতীত ভলিউম নোট বা নামজারি এন্ট্রির আইনগত কার্যকারিতা প্রশ্নবিদ্ধ।</w:t>
            </w:r>
          </w:p>
        </w:tc>
        <w:tc>
          <w:p>
            <w:r>
              <w:rPr>
                <w:rFonts w:ascii="Kalpurush" w:cs="Kalpurush" w:eastAsia="Kalpurush" w:hAnsi="Kalpurush"/>
                <w:b/>
                <w:bCs/>
                <w:sz w:val="20"/>
                <w:szCs w:val="20"/>
              </w:rPr>
              <w:t xml:space="preserve">⚠️ Filing-এর আগে original DLR report থেকে exact ratio verify করিবেন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সারবস্তু: parent judicial order ছাড়া ভিন্ন কালিতে খতিয়ানে কৃত পরিবর্তন আইনি কার্যকারিতা লাভ করে না।</w:t>
            </w:r>
          </w:p>
        </w:tc>
        <w:tc>
          <w:p>
            <w:r>
              <w:rPr>
                <w:rFonts w:ascii="Kalpurush" w:cs="Kalpurush" w:eastAsia="Kalpurush" w:hAnsi="Kalpurush"/>
                <w:b/>
                <w:bCs/>
                <w:sz w:val="20"/>
                <w:szCs w:val="20"/>
              </w:rPr>
              <w:t xml:space="preserve">⚠️ Filing-এর আগে original BLT report verify করিবেন</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 — 5-Judge Bench)*</w:t>
            </w:r>
          </w:p>
        </w:tc>
        <w:tc>
          <w:p>
            <w:r>
              <w:rPr>
                <w:rFonts w:ascii="Kalpurush" w:cs="Kalpurush" w:eastAsia="Kalpurush" w:hAnsi="Kalpurush"/>
                <w:sz w:val="20"/>
                <w:szCs w:val="20"/>
              </w:rPr>
              <w:t xml:space="preserve">সারবস্তু: প্রশাসনিক mutation note চূড়ান্ত প্রকাশিত রেকর্ডের সংবিধিবদ্ধ অনুমান বাতিল করতে পারে না।</w:t>
            </w:r>
          </w:p>
        </w:tc>
        <w:tc>
          <w:p>
            <w:r>
              <w:rPr>
                <w:rFonts w:ascii="Kalpurush" w:cs="Kalpurush" w:eastAsia="Kalpurush" w:hAnsi="Kalpurush"/>
                <w:b/>
                <w:bCs/>
                <w:sz w:val="20"/>
                <w:szCs w:val="20"/>
              </w:rPr>
              <w:t xml:space="preserve">⚠️ Filing-এর আগে original SCOB report verify করিবেন</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সারবস্তু: চিফ ম্যানেজারের অনুমোদন ছাড়া নবাব এস্টেটের পত্তন/দাখিলা void ab initio।</w:t>
            </w:r>
          </w:p>
        </w:tc>
        <w:tc>
          <w:p>
            <w:r>
              <w:rPr>
                <w:rFonts w:ascii="Kalpurush" w:cs="Kalpurush" w:eastAsia="Kalpurush" w:hAnsi="Kalpurush"/>
                <w:b/>
                <w:bCs/>
                <w:sz w:val="20"/>
                <w:szCs w:val="20"/>
              </w:rPr>
              <w:t xml:space="preserve">⚠️ Filing-এর আগে original BLC report verify করিবেন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সারবস্তু: SAT Act Section 86-এর অধীনে State Acquisition-এ pre-SA unrecorded interest বিলুপ্ত।</w:t>
            </w:r>
          </w:p>
        </w:tc>
        <w:tc>
          <w:p>
            <w:r>
              <w:rPr>
                <w:rFonts w:ascii="Kalpurush" w:cs="Kalpurush" w:eastAsia="Kalpurush" w:hAnsi="Kalpurush"/>
                <w:b/>
                <w:bCs/>
                <w:sz w:val="20"/>
                <w:szCs w:val="20"/>
              </w:rPr>
              <w:t xml:space="preserve">⚠️ Filing-এর আগে original SCOB report verify করিবেন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State."&lt;br&gt;*(সরকার কো-শেয়ারারদের বাটোয়ারা মামলায় আবশ্যকীয় পক্ষ নয়।)*</w:t>
            </w:r>
          </w:p>
        </w:tc>
        <w:tc>
          <w:p>
            <w:r>
              <w:rPr>
                <w:rFonts w:ascii="Kalpurush" w:cs="Kalpurush" w:eastAsia="Kalpurush" w:hAnsi="Kalpurush"/>
                <w:b/>
                <w:bCs/>
                <w:sz w:val="20"/>
                <w:szCs w:val="20"/>
              </w:rPr>
              <w:t xml:space="preserve">⚠️ Filing-এর আগে verify করিবেন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plots."&lt;br&gt;*(পৃথক খতিয়ান পৃথক প্রজাস্বত্ব সৃষ্টি করে।)*</w:t>
            </w:r>
          </w:p>
        </w:tc>
        <w:tc>
          <w:p>
            <w:r>
              <w:rPr>
                <w:rFonts w:ascii="Kalpurush" w:cs="Kalpurush" w:eastAsia="Kalpurush" w:hAnsi="Kalpurush"/>
                <w:b/>
                <w:bCs/>
                <w:sz w:val="20"/>
                <w:szCs w:val="20"/>
              </w:rPr>
              <w:t xml:space="preserve">⚠️ Filing-এর আগে verify করিবেন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Trial Court Finding</w:t>
            </w:r>
          </w:p>
        </w:tc>
        <w:tc>
          <w:p>
            <w:r>
              <w:rPr>
                <w:rFonts w:ascii="Kalpurush" w:cs="Kalpurush" w:eastAsia="Kalpurush" w:hAnsi="Kalpurush"/>
                <w:sz w:val="20"/>
                <w:szCs w:val="20"/>
              </w:rPr>
              <w:t xml:space="preserve">Appellate Error</w:t>
            </w:r>
          </w:p>
        </w:tc>
        <w:tc>
          <w:p>
            <w:r>
              <w:rPr>
                <w:rFonts w:ascii="Kalpurush" w:cs="Kalpurush" w:eastAsia="Kalpurush" w:hAnsi="Kalpurush"/>
                <w:sz w:val="20"/>
                <w:szCs w:val="20"/>
              </w:rPr>
              <w:t xml:space="preserve">Impugned Judgment Reference</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sz w:val="20"/>
                <w:szCs w:val="20"/>
              </w:rPr>
              <w:t xml:space="preserve">Foundation presumed, proved নয় — পাট্টা/কবুলিয়ত অনুপস্থিত</w:t>
            </w:r>
          </w:p>
        </w:tc>
        <w:tc>
          <w:p>
            <w:r>
              <w:rPr>
                <w:rFonts w:ascii="Kalpurush" w:cs="Kalpurush" w:eastAsia="Kalpurush" w:hAnsi="Kalpurush"/>
                <w:sz w:val="20"/>
                <w:szCs w:val="20"/>
              </w:rPr>
              <w:t xml:space="preserve">*[Counsel: Page/Para বসাবেন]*</w:t>
            </w:r>
          </w:p>
        </w:tc>
      </w:tr>
      <w:tr>
        <w:tc>
          <w:p>
            <w:r>
              <w:rPr>
                <w:rFonts w:ascii="Kalpurush" w:cs="Kalpurush" w:eastAsia="Kalpurush" w:hAnsi="Kalpurush"/>
                <w:sz w:val="20"/>
                <w:szCs w:val="20"/>
              </w:rPr>
              <w:t xml:space="preserve">২. SA ২৩৮ ভুল</w:t>
            </w:r>
          </w:p>
        </w:tc>
        <w:tc>
          <w:p>
            <w:r>
              <w:rPr>
                <w:rFonts w:ascii="Kalpurush" w:cs="Kalpurush" w:eastAsia="Kalpurush" w:hAnsi="Kalpurush"/>
                <w:sz w:val="20"/>
                <w:szCs w:val="20"/>
              </w:rPr>
              <w:t xml:space="preserve">Section 144A presumption adequate evidence ছাড়া খারিজ</w:t>
            </w:r>
          </w:p>
        </w:tc>
        <w:tc>
          <w:p>
            <w:r>
              <w:rPr>
                <w:rFonts w:ascii="Kalpurush" w:cs="Kalpurush" w:eastAsia="Kalpurush" w:hAnsi="Kalpurush"/>
                <w:sz w:val="20"/>
                <w:szCs w:val="20"/>
              </w:rPr>
              <w:t xml:space="preserve">*[Counsel: Page/Para বসাবেন]*</w:t>
            </w:r>
          </w:p>
        </w:tc>
      </w:tr>
      <w:tr>
        <w:tc>
          <w:p>
            <w:r>
              <w:rPr>
                <w:rFonts w:ascii="Kalpurush" w:cs="Kalpurush" w:eastAsia="Kalpurush" w:hAnsi="Kalpurush"/>
                <w:sz w:val="20"/>
                <w:szCs w:val="20"/>
              </w:rPr>
              <w:t xml:space="preserve">৩. ১৯৬৯ সংশোধন গৃহীত</w:t>
            </w:r>
          </w:p>
        </w:tc>
        <w:tc>
          <w:p>
            <w:r>
              <w:rPr>
                <w:rFonts w:ascii="Kalpurush" w:cs="Kalpurush" w:eastAsia="Kalpurush" w:hAnsi="Kalpurush"/>
                <w:sz w:val="20"/>
                <w:szCs w:val="20"/>
              </w:rPr>
              <w:t xml:space="preserve">The impugned judgment does not identify, with reference to any produced parent order or certified correction record, the legal source and implementation by which the AC Land entry displaced the finally published SA 238</w:t>
            </w:r>
          </w:p>
        </w:tc>
        <w:tc>
          <w:p>
            <w:r>
              <w:rPr>
                <w:rFonts w:ascii="Kalpurush" w:cs="Kalpurush" w:eastAsia="Kalpurush" w:hAnsi="Kalpurush"/>
                <w:sz w:val="20"/>
                <w:szCs w:val="20"/>
              </w:rPr>
              <w:t xml:space="preserve">*[Counsel: Page/Para বসাবেন]*</w:t>
            </w:r>
          </w:p>
        </w:tc>
      </w:tr>
      <w:tr>
        <w:tc>
          <w:p>
            <w:r>
              <w:rPr>
                <w:rFonts w:ascii="Kalpurush" w:cs="Kalpurush" w:eastAsia="Kalpurush" w:hAnsi="Kalpurush"/>
                <w:sz w:val="20"/>
                <w:szCs w:val="20"/>
              </w:rPr>
              <w:t xml:space="preserve">৪. AC Land ভলিউম প্রাধান্য</w:t>
            </w:r>
          </w:p>
        </w:tc>
        <w:tc>
          <w:p>
            <w:r>
              <w:rPr>
                <w:rFonts w:ascii="Kalpurush" w:cs="Kalpurush" w:eastAsia="Kalpurush" w:hAnsi="Kalpurush"/>
                <w:sz w:val="20"/>
                <w:szCs w:val="20"/>
              </w:rPr>
              <w:t xml:space="preserve">Legal source, provenance, Section 144A-র evidentiary standard পূরণ না হয়েই ROR-এর উপরে স্থান</w:t>
            </w:r>
          </w:p>
        </w:tc>
        <w:tc>
          <w:p>
            <w:r>
              <w:rPr>
                <w:rFonts w:ascii="Kalpurush" w:cs="Kalpurush" w:eastAsia="Kalpurush" w:hAnsi="Kalpurush"/>
                <w:sz w:val="20"/>
                <w:szCs w:val="20"/>
              </w:rPr>
              <w:t xml:space="preserve">*[Counsel: Page/Para বসাবেন]*</w:t>
            </w:r>
          </w:p>
        </w:tc>
      </w:tr>
      <w:tr>
        <w:tc>
          <w:p>
            <w:r>
              <w:rPr>
                <w:rFonts w:ascii="Kalpurush" w:cs="Kalpurush" w:eastAsia="Kalpurush" w:hAnsi="Kalpurush"/>
                <w:sz w:val="20"/>
                <w:szCs w:val="20"/>
              </w:rPr>
              <w:t xml:space="preserve">৫. ১৯৭৫ দলিল বৈপরীত্য উপেক্ষিত</w:t>
            </w:r>
          </w:p>
        </w:tc>
        <w:tc>
          <w:p>
            <w:r>
              <w:rPr>
                <w:rFonts w:ascii="Kalpurush" w:cs="Kalpurush" w:eastAsia="Kalpurush" w:hAnsi="Kalpurush"/>
                <w:sz w:val="20"/>
                <w:szCs w:val="20"/>
              </w:rPr>
              <w:t xml:space="preserve">Exhibit Kha-1 (6 dags vs 1 dag) — material documentary evidence not properly considered</w:t>
            </w:r>
          </w:p>
        </w:tc>
        <w:tc>
          <w:p>
            <w:r>
              <w:rPr>
                <w:rFonts w:ascii="Kalpurush" w:cs="Kalpurush" w:eastAsia="Kalpurush" w:hAnsi="Kalpurush"/>
                <w:sz w:val="20"/>
                <w:szCs w:val="20"/>
              </w:rPr>
              <w:t xml:space="preserve">*[Counsel: Page/Para বসাবেন]*</w:t>
            </w:r>
          </w:p>
        </w:tc>
      </w:tr>
      <w:tr>
        <w:tc>
          <w:p>
            <w:r>
              <w:rPr>
                <w:rFonts w:ascii="Kalpurush" w:cs="Kalpurush" w:eastAsia="Kalpurush" w:hAnsi="Kalpurush"/>
                <w:sz w:val="20"/>
                <w:szCs w:val="20"/>
              </w:rPr>
              <w:t xml:space="preserve">৬. Hotchpot/Non-joinder-এ খারিজ</w:t>
            </w:r>
          </w:p>
        </w:tc>
        <w:tc>
          <w:p>
            <w:r>
              <w:rPr>
                <w:rFonts w:ascii="Kalpurush" w:cs="Kalpurush" w:eastAsia="Kalpurush" w:hAnsi="Kalpurush"/>
                <w:sz w:val="20"/>
                <w:szCs w:val="20"/>
              </w:rPr>
              <w:t xml:space="preserve">পৃথক খতিয়ান ও সরকারি জমি বাদ থাকায় technical objection fatal নয়</w:t>
            </w:r>
          </w:p>
        </w:tc>
        <w:tc>
          <w:p>
            <w:r>
              <w:rPr>
                <w:rFonts w:ascii="Kalpurush" w:cs="Kalpurush" w:eastAsia="Kalpurush" w:hAnsi="Kalpurush"/>
                <w:sz w:val="20"/>
                <w:szCs w:val="20"/>
              </w:rPr>
              <w:t xml:space="preserve">*[Counsel: Page/Para বসাবেন]*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বিবাদীপক্ষই প্রথম সেই State Recognition-কে ভুল দাবি করেছেন — তাই তাঁদের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Misc Case 1181/1969-এর certified copy কেন উপস্থাপিত হয়নি?</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বিবাদীরা Misc Case-এর certified copy দিতে পারেননি; মূল ফাইলও সমন করেননি। Evidence Act Section 103 ও 114(g) অনুযায়ী প্রমাণের দায়িত্ব বিবাদীদের। এই প্রমাণের ফাঁকই তাহাদের correction theory-র evidentiary foundation সম্পর্কে প্রশ্ন তোলে।"*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AC Land volume merely by being a revenue record does not enjoy the specific statutory presumption that section 144A attaches to a record-of-rights prepared or revised under section 144. তাহার legal source, provenance ও implementation trail যাচাই না করিয়া এটি ROR-এর উপরে স্থান দেওয়া যায় না।"*</w:t>
      </w:r>
    </w:p>
    <w:p>
      <w:r>
        <w:rPr>
          <w:rFonts w:ascii="Kalpurush" w:cs="Kalpurush" w:eastAsia="Kalpurush" w:hAnsi="Kalpurush"/>
        </w:rPr>
        <w:t xml:space="preserve"/>
      </w:r>
    </w:p>
    <w:p>
      <w:r>
        <w:rPr>
          <w:rFonts w:ascii="Kalpurush" w:cs="Kalpurush" w:eastAsia="Kalpurush" w:hAnsi="Kalpurush"/>
          <w:b/>
          <w:bCs/>
          <w:sz w:val="20"/>
          <w:szCs w:val="20"/>
        </w:rPr>
        <w:t xml:space="preserve">Q4: District Record Room-এর অপরিবর্তিত খতিয়ানের গুরুত্ব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আজও District Settlement Record Room-এ SA ২৩৮-এ Abdul Ali-এর নাম বহাল। বিবাদীপক্ষ কোনো সংশোধিত SA ২৩৮-এর certified copy দেখায়নি। আমরা বলছি না corrected certified copy না থাকলেই correction অসম্ভব — আমরা বলছি যে পক্ষ correction-এর উপর substantive title দাবি করছে, সে correction-এর authoritative existence, content এবং implementation নির্ভরযোগ্যভাবে প্রমাণ করার মতো কোনো documentary chain-ও উপস্থাপন করেনি।"*</w:t>
      </w:r>
    </w:p>
    <w:p>
      <w:r>
        <w:rPr>
          <w:rFonts w:ascii="Kalpurush" w:cs="Kalpurush" w:eastAsia="Kalpurush" w:hAnsi="Kalpurush"/>
        </w:rPr>
        <w:t xml:space="preserve"/>
      </w:r>
    </w:p>
    <w:p>
      <w:r>
        <w:rPr>
          <w:rFonts w:ascii="Kalpurush" w:cs="Kalpurush" w:eastAsia="Kalpurush" w:hAnsi="Kalpurush"/>
          <w:b/>
          <w:bCs/>
          <w:sz w:val="20"/>
          <w:szCs w:val="20"/>
        </w:rPr>
        <w:t xml:space="preserve">Q5: ১৯৭৫ সালের দলিলে ৬ দাগের বিষয়টি কতটা গুরুত্বপূর্ণ?</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বিবাদীদের নিজেদের দলিলেই ৬টি দাগের বিবরণ রহিয়াছে (Exhibit Kha-1), কিন্তু তাহাদের correction theory বলে SA ২৩৮ কেবল ১ দাগে সীমাবদ্ধ হয়েছিল। The contradiction does not prove fabrication, but it materially undermines the credibility of the one-dag theory এবং এর কোনো সন্তোষজনক ব্যাখ্যা রেকর্ডে নেই।"*</w:t>
      </w:r>
    </w:p>
    <w:p>
      <w:r>
        <w:rPr>
          <w:rFonts w:ascii="Kalpurush" w:cs="Kalpurush" w:eastAsia="Kalpurush" w:hAnsi="Kalpurush"/>
        </w:rPr>
        <w:t xml:space="preserve"/>
      </w:r>
    </w:p>
    <w:p>
      <w:r>
        <w:rPr>
          <w:rFonts w:ascii="Kalpurush" w:cs="Kalpurush" w:eastAsia="Kalpurush" w:hAnsi="Kalpurush"/>
          <w:b/>
          <w:bCs/>
          <w:sz w:val="20"/>
          <w:szCs w:val="20"/>
        </w:rPr>
        <w:t xml:space="preserve">Q6: ১৯৫৭ সালের দলিলের ভূমিকা 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২৩৯৮/১৯৫৭ নং দলিল SA ২৩৮-এর title source নহে। এটি SA operation চলাকালীন সময়ের একটি contemporaneous corroborative circumstance — আব্দুল আলীর সাথে ৩ নং দাগের নিবন্ধিত দালিলিক সম্পর্কের সমসাময়িক প্রমাণ।"*</w:t>
      </w:r>
    </w:p>
    <w:p>
      <w:r>
        <w:rPr>
          <w:rFonts w:ascii="Kalpurush" w:cs="Kalpurush" w:eastAsia="Kalpurush" w:hAnsi="Kalpurush"/>
        </w:rPr>
        <w:t xml:space="preserve"/>
      </w:r>
    </w:p>
    <w:p>
      <w:r>
        <w:rPr>
          <w:rFonts w:ascii="Kalpurush" w:cs="Kalpurush" w:eastAsia="Kalpurush" w:hAnsi="Kalpurush"/>
          <w:b/>
          <w:bCs/>
          <w:sz w:val="20"/>
          <w:szCs w:val="20"/>
        </w:rPr>
        <w:t xml:space="preserve">Q7: Abdul Karim-এর pre-SA interest ধরে নিলে কী হয়?</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even assuming for argument's sake that Abdul Karim had some pre-SA interest, that assumption alone does not prove that Abdul Ali's finally published SA entry was wrong, nor does it prove how Sona Bhanu acquired a legally effective interest in SA 238. Layer 2 এর displacement প্রমাণ তখনও বাকি থাকে।"*</w:t>
      </w:r>
    </w:p>
    <w:p>
      <w:r>
        <w:rPr>
          <w:rFonts w:ascii="Kalpurush" w:cs="Kalpurush" w:eastAsia="Kalpurush" w:hAnsi="Kalpurush"/>
        </w:rPr>
        <w:t xml:space="preserve"/>
      </w:r>
    </w:p>
    <w:p>
      <w:r>
        <w:rPr>
          <w:rFonts w:ascii="Kalpurush" w:cs="Kalpurush" w:eastAsia="Kalpurush" w:hAnsi="Kalpurush"/>
          <w:b/>
          <w:bCs/>
          <w:sz w:val="20"/>
          <w:szCs w:val="20"/>
        </w:rPr>
        <w:t xml:space="preserve">Q8: সরকারি জমি বাদ পড়ায় কি Hotchpot দোষ হইয়াছে?</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একই দাগে সরকারি জমি পৃথক খতিয়ানে। পৃথক খতিয়ানের জমি বা সরকারের জমি ব্যক্তিমালিকানাধীন বাটোয়ারায় আনা বাধ্যতামূলক নয় (27 BLD HD 229)।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Q9: সরকারকে পক্ষ না করায় কি মামলা খারিজ হইতে পারে?</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49 DLR (AD) 15 অনুযায়ী সহ-শরীকদের বাটোয়ারা মামলায় সরকার আবশ্যকীয় পক্ষ নয় যেখানে রাষ্ট্রের বিরুদ্ধে কোনো প্রতিকার চাওয়া হয়নি।"*</w:t>
      </w:r>
    </w:p>
    <w:p>
      <w:r>
        <w:rPr>
          <w:rFonts w:ascii="Kalpurush" w:cs="Kalpurush" w:eastAsia="Kalpurush" w:hAnsi="Kalpurush"/>
        </w:rPr>
        <w:t xml:space="preserve"/>
      </w:r>
    </w:p>
    <w:p>
      <w:r>
        <w:rPr>
          <w:rFonts w:ascii="Kalpurush" w:cs="Kalpurush" w:eastAsia="Kalpurush" w:hAnsi="Kalpurush"/>
          <w:b/>
          <w:bCs/>
          <w:sz w:val="20"/>
          <w:szCs w:val="20"/>
        </w:rPr>
        <w:t xml:space="preserve">Q10: বাদীপক্ষের হিসাবে ৩৪০ শতাংশ কি সঠিক?</w:t>
      </w:r>
    </w:p>
    <w:p>
      <w:pPr>
        <w:ind w:left="720"/>
      </w:pPr>
      <w:r>
        <w:rPr>
          <w:rFonts w:ascii="Kalpurush" w:cs="Kalpurush" w:eastAsia="Kalpurush" w:hAnsi="Kalpurush"/>
          <w:b/>
          <w:bCs/>
          <w:i/>
          <w:iCs/>
          <w:sz w:val="20"/>
          <w:szCs w:val="20"/>
        </w:rPr>
        <w:t xml:space="preserve">A:</w:t>
      </w:r>
      <w:r>
        <w:rPr>
          <w:rFonts w:ascii="Kalpurush" w:cs="Kalpurush" w:eastAsia="Kalpurush" w:hAnsi="Kalpurush"/>
          <w:i/>
          <w:iCs/>
          <w:sz w:val="20"/>
          <w:szCs w:val="20"/>
        </w:rPr>
        <w:t xml:space="preserve"> *"My Lord, বাদীপক্ষের তফসিলে ৩৪০ শতাংশ নালিশী অংশ এবং ১৩৭ শতাংশ সরকারি খাস, যোগফল ৪৭৭ শতাংশ — যা ১২৫৯ দাগের সরকারি মোট পরিমাপের সাথে মিলে যায়। বিবাদীপক্ষের দাবি অনুযায়ী ৩৪৯ + ১৩৭ = ৪৮৬ শতাংশ, যা দাগের মোট পরিমাণকে অতিক্রম করে। আদালত নিজেই এই অসামঞ্জস্য বিবেচনা করিতে পারেন।"*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প্রার্থনাসহ প্রতিকার (Closing &amp; Prayer)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"My Lord, the respondents may have a theory; but a theory is not rebuttal evidence."</w:t>
      </w:r>
    </w:p>
    <w:p>
      <w:pPr>
        <w:ind w:left="720"/>
      </w:pPr>
      <w:r>
        <w:rPr>
          <w:rFonts w:ascii="Kalpurush" w:cs="Kalpurush" w:eastAsia="Kalpurush" w:hAnsi="Kalpurush"/>
          <w:i/>
          <w:iCs/>
          <w:sz w:val="20"/>
          <w:szCs w:val="20"/>
        </w:rPr>
        <w:t xml:space="preserve">*(বঙ্গানুবাদ: "মহামান্য আদালত, বিবাদীপক্ষের একটি মৌখিক তত্ত্ব থাকিতে পারে; কিন্তু কোনো তত্ত্ব কখনো সংবিধিবদ্ধ রেকর্ডের বিরুদ্ধে নির্ভরযোগ্য খণ্ডনকারী সাক্ষ্য হইতে পারে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pPr>
        <w:ind w:left="720"/>
      </w:pPr>
      <w:r>
        <w:rPr>
          <w:rFonts w:ascii="Kalpurush" w:cs="Kalpurush" w:eastAsia="Kalpurush" w:hAnsi="Kalpurush"/>
          <w:i/>
          <w:iCs/>
          <w:sz w:val="20"/>
          <w:szCs w:val="20"/>
        </w:rPr>
        <w:t xml:space="preserve">*(বঙ্গানুবাদ: "আমরা আদালতকে বলছি না যে চূড়ান্তভাবে প্রকাশিত এসএ রেকর্ড কখনো ভুল হতে পারে না। আমরা আদালতকে বিনীতভাবে বলছি — ওই রেকর্ডকে চ্যালেঞ্জকারী পক্ষের কাছে প্রমাণ চাইতে যে কীভাবে, কখন এবং কোন বৈধ দলিলের মাধ্যমে সেই রেকর্ড অপসারিত হয়েছিল।")*</w:t>
      </w:r>
    </w:p>
    <w:p>
      <w:r>
        <w:rPr>
          <w:rFonts w:ascii="Kalpurush" w:cs="Kalpurush" w:eastAsia="Kalpurush" w:hAnsi="Kalpurush"/>
        </w:rPr>
        <w:t xml:space="preserve"/>
      </w:r>
    </w:p>
    <w:p>
      <w:r>
        <w:rPr>
          <w:rFonts w:ascii="Kalpurush" w:cs="Kalpurush" w:eastAsia="Kalpurush" w:hAnsi="Kalpurush"/>
          <w:b/>
          <w:bCs/>
          <w:sz w:val="20"/>
          <w:szCs w:val="20"/>
        </w:rPr>
        <w:t xml:space="preserve">প্রার্থিত প্রতিকার:</w:t>
      </w:r>
    </w:p>
    <w:p>
      <w:pPr>
        <w:pStyle w:val="ListParagraph"/>
        <w:numPr>
          <w:ilvl w:val="0"/>
          <w:numId w:val="1"/>
        </w:numPr>
      </w:pPr>
      <w:r>
        <w:rPr>
          <w:rFonts w:ascii="Kalpurush" w:cs="Kalpurush" w:eastAsia="Kalpurush" w:hAnsi="Kalpurush"/>
          <w:b/>
          <w:bCs/>
          <w:sz w:val="20"/>
          <w:szCs w:val="20"/>
        </w:rPr>
        <w:t xml:space="preserve">(ক)</w:t>
      </w:r>
      <w:r>
        <w:rPr>
          <w:rFonts w:ascii="Kalpurush" w:cs="Kalpurush" w:eastAsia="Kalpurush" w:hAnsi="Kalpurush"/>
          <w:sz w:val="20"/>
          <w:szCs w:val="20"/>
        </w:rPr>
        <w:t xml:space="preserve"> ০৫/০৪/২০২৬ তারিখের রায় ও ০৯/০৪/২০২৬ তারিখের ডিক্রি বাতিল;</w:t>
      </w:r>
    </w:p>
    <w:p>
      <w:pPr>
        <w:pStyle w:val="ListParagraph"/>
        <w:numPr>
          <w:ilvl w:val="0"/>
          <w:numId w:val="1"/>
        </w:numPr>
      </w:pPr>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ও ১ নং রেসপন্ডেন্টের সোলেনামার ভিত্তিতে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w:t>
      </w:r>
    </w:p>
    <w:p>
      <w:pPr>
        <w:pStyle w:val="ListParagraph"/>
        <w:numPr>
          <w:ilvl w:val="0"/>
          <w:numId w:val="1"/>
        </w:numPr>
      </w:pPr>
      <w:r>
        <w:rPr>
          <w:rFonts w:ascii="Kalpurush" w:cs="Kalpurush" w:eastAsia="Kalpurush" w:hAnsi="Kalpurush"/>
          <w:b/>
          <w:bCs/>
          <w:sz w:val="20"/>
          <w:szCs w:val="20"/>
        </w:rPr>
        <w:t xml:space="preserve">(গ) বিকল্পে:</w:t>
      </w:r>
      <w:r>
        <w:rPr>
          <w:rFonts w:ascii="Kalpurush" w:cs="Kalpurush" w:eastAsia="Kalpurush" w:hAnsi="Kalpurush"/>
          <w:sz w:val="20"/>
          <w:szCs w:val="20"/>
        </w:rPr>
        <w:t xml:space="preserve"> CPC Order XLI Rule 23/23A-তে </w:t>
      </w:r>
      <w:r>
        <w:rPr>
          <w:rFonts w:ascii="Kalpurush" w:cs="Kalpurush" w:eastAsia="Kalpurush" w:hAnsi="Kalpurush"/>
          <w:b/>
          <w:bCs/>
          <w:sz w:val="20"/>
          <w:szCs w:val="20"/>
        </w:rPr>
        <w:t xml:space="preserve">রিমান্ড</w:t>
      </w:r>
      <w:r>
        <w:rPr>
          <w:rFonts w:ascii="Kalpurush" w:cs="Kalpurush" w:eastAsia="Kalpurush" w:hAnsi="Kalpurush"/>
          <w:sz w:val="20"/>
          <w:szCs w:val="20"/>
        </w:rPr>
        <w:t xml:space="preserve"> — বাদীপক্ষকে Order VI Rule 17 ও Order I Rule 10(2)-এর সুযোগ দিয়ে।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 বিজ্ঞ কৌসুলির জন্য চূড়ান্ত সতর্কবার্তা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The Locked Hierarchy — ১২-ধাপের চূড়ান্ত কাঠামো</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SA 238-এর statutory presumption</w:t>
      </w:r>
      <w:r>
        <w:rPr>
          <w:rFonts w:ascii="Kalpurush" w:cs="Kalpurush" w:eastAsia="Kalpurush" w:hAnsi="Kalpurush"/>
          <w:sz w:val="20"/>
          <w:szCs w:val="20"/>
        </w:rPr>
        <w:t xml:space="preserve"> (Section 144A)</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Respondents assert correction</w:t>
      </w:r>
      <w:r>
        <w:rPr>
          <w:rFonts w:ascii="Kalpurush" w:cs="Kalpurush" w:eastAsia="Kalpurush" w:hAnsi="Kalpurush"/>
          <w:sz w:val="20"/>
          <w:szCs w:val="20"/>
        </w:rPr>
        <w:t xml:space="preserve"> (১৯৬৯ সালের কথিত সংশোধন)</w:t>
      </w:r>
    </w:p>
    <w:p>
      <w:r>
        <w:rPr>
          <w:rFonts w:ascii="Kalpurush" w:cs="Kalpurush" w:eastAsia="Kalpurush" w:hAnsi="Kalpurush"/>
          <w:sz w:val="20"/>
          <w:szCs w:val="20"/>
        </w:rPr>
        <w:t xml:space="preserve">③. </w:t>
      </w:r>
      <w:r>
        <w:rPr>
          <w:rFonts w:ascii="Kalpurush" w:cs="Kalpurush" w:eastAsia="Kalpurush" w:hAnsi="Kalpurush"/>
          <w:b/>
          <w:bCs/>
          <w:sz w:val="20"/>
          <w:szCs w:val="20"/>
        </w:rPr>
        <w:t xml:space="preserve">Layer 1: Abdul Karim root</w:t>
      </w:r>
      <w:r>
        <w:rPr>
          <w:rFonts w:ascii="Kalpurush" w:cs="Kalpurush" w:eastAsia="Kalpurush" w:hAnsi="Kalpurush"/>
          <w:sz w:val="20"/>
          <w:szCs w:val="20"/>
        </w:rPr>
        <w:t xml:space="preserve"> — নির্ভরযোগ্যভাবে প্রতিষ্ঠিত?</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Layer 2: Even assuming root, how did it displace Abdul Ali?</w:t>
      </w:r>
      <w:r>
        <w:rPr>
          <w:rFonts w:ascii="Kalpurush" w:cs="Kalpurush" w:eastAsia="Kalpurush" w:hAnsi="Kalpurush"/>
          <w:sz w:val="20"/>
          <w:szCs w:val="20"/>
        </w:rPr>
        <w:t xml:space="preserve"> (displacement-এর আইনগত প্রমাণ?)</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Misc Case parent order কোথায়?</w:t>
      </w:r>
      <w:r>
        <w:rPr>
          <w:rFonts w:ascii="Kalpurush" w:cs="Kalpurush" w:eastAsia="Kalpurush" w:hAnsi="Kalpurush"/>
          <w:sz w:val="20"/>
          <w:szCs w:val="20"/>
        </w:rPr>
        <w:t xml:space="preserve"> (existence, certified copy)</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Contents/jurisdiction/notice/implementation-এর নির্ভরযোগ্য evidence কী?</w:t>
      </w:r>
    </w:p>
    <w:p>
      <w:r>
        <w:rPr>
          <w:rFonts w:ascii="Kalpurush" w:cs="Kalpurush" w:eastAsia="Kalpurush" w:hAnsi="Kalpurush"/>
          <w:sz w:val="20"/>
          <w:szCs w:val="20"/>
        </w:rPr>
        <w:t xml:space="preserve">৭. </w:t>
      </w:r>
      <w:r>
        <w:rPr>
          <w:rFonts w:ascii="Kalpurush" w:cs="Kalpurush" w:eastAsia="Kalpurush" w:hAnsi="Kalpurush"/>
          <w:b/>
          <w:bCs/>
          <w:sz w:val="20"/>
          <w:szCs w:val="20"/>
        </w:rPr>
        <w:t xml:space="preserve">District Record Room-এ correction-এর authoritative manifestation কোথায়?</w:t>
      </w:r>
    </w:p>
    <w:p>
      <w:r>
        <w:rPr>
          <w:rFonts w:ascii="Kalpurush" w:cs="Kalpurush" w:eastAsia="Kalpurush" w:hAnsi="Kalpurush"/>
          <w:sz w:val="20"/>
          <w:szCs w:val="20"/>
        </w:rPr>
        <w:t xml:space="preserve">৮. </w:t>
      </w:r>
      <w:r>
        <w:rPr>
          <w:rFonts w:ascii="Kalpurush" w:cs="Kalpurush" w:eastAsia="Kalpurush" w:hAnsi="Kalpurush"/>
          <w:b/>
          <w:bCs/>
          <w:sz w:val="20"/>
          <w:szCs w:val="20"/>
        </w:rPr>
        <w:t xml:space="preserve">Corrected certified SA 238 কোথায়?</w:t>
      </w:r>
    </w:p>
    <w:p>
      <w:r>
        <w:rPr>
          <w:rFonts w:ascii="Kalpurush" w:cs="Kalpurush" w:eastAsia="Kalpurush" w:hAnsi="Kalpurush"/>
          <w:sz w:val="20"/>
          <w:szCs w:val="20"/>
        </w:rPr>
        <w:t xml:space="preserve">৯. </w:t>
      </w:r>
      <w:r>
        <w:rPr>
          <w:rFonts w:ascii="Kalpurush" w:cs="Kalpurush" w:eastAsia="Kalpurush" w:hAnsi="Kalpurush"/>
          <w:b/>
          <w:bCs/>
          <w:sz w:val="20"/>
          <w:szCs w:val="20"/>
        </w:rPr>
        <w:t xml:space="preserve">AC Land volume provenance কী?</w:t>
      </w:r>
      <w:r>
        <w:rPr>
          <w:rFonts w:ascii="Kalpurush" w:cs="Kalpurush" w:eastAsia="Kalpurush" w:hAnsi="Kalpurush"/>
          <w:sz w:val="20"/>
          <w:szCs w:val="20"/>
        </w:rPr>
        <w:t xml:space="preserve"> (Section 144A presumption প্রযোজ্য নয়)</w:t>
      </w:r>
    </w:p>
    <w:p>
      <w:r>
        <w:rPr>
          <w:rFonts w:ascii="Kalpurush" w:cs="Kalpurush" w:eastAsia="Kalpurush" w:hAnsi="Kalpurush"/>
          <w:sz w:val="20"/>
          <w:szCs w:val="20"/>
        </w:rPr>
        <w:t xml:space="preserve">১০. </w:t>
      </w:r>
      <w:r>
        <w:rPr>
          <w:rFonts w:ascii="Kalpurush" w:cs="Kalpurush" w:eastAsia="Kalpurush" w:hAnsi="Kalpurush"/>
          <w:b/>
          <w:bCs/>
          <w:sz w:val="20"/>
          <w:szCs w:val="20"/>
        </w:rPr>
        <w:t xml:space="preserve">1975 deed-এর six-dag contradiction</w:t>
      </w:r>
      <w:r>
        <w:rPr>
          <w:rFonts w:ascii="Kalpurush" w:cs="Kalpurush" w:eastAsia="Kalpurush" w:hAnsi="Kalpurush"/>
          <w:sz w:val="20"/>
          <w:szCs w:val="20"/>
        </w:rPr>
        <w:t xml:space="preserve"> (one-dag theory-র internal inconsistency)</w:t>
      </w:r>
    </w:p>
    <w:p>
      <w:r>
        <w:rPr>
          <w:rFonts w:ascii="Kalpurush" w:cs="Kalpurush" w:eastAsia="Kalpurush" w:hAnsi="Kalpurush"/>
          <w:sz w:val="20"/>
          <w:szCs w:val="20"/>
        </w:rPr>
        <w:t xml:space="preserve">১১. </w:t>
      </w:r>
      <w:r>
        <w:rPr>
          <w:rFonts w:ascii="Kalpurush" w:cs="Kalpurush" w:eastAsia="Kalpurush" w:hAnsi="Kalpurush"/>
          <w:b/>
          <w:bCs/>
          <w:sz w:val="20"/>
          <w:szCs w:val="20"/>
        </w:rPr>
        <w:t xml:space="preserve">Hotchpot/Non-joinder secondary issues</w:t>
      </w:r>
      <w:r>
        <w:rPr>
          <w:rFonts w:ascii="Kalpurush" w:cs="Kalpurush" w:eastAsia="Kalpurush" w:hAnsi="Kalpurush"/>
          <w:sz w:val="20"/>
          <w:szCs w:val="20"/>
        </w:rPr>
        <w:t xml:space="preserve"> (পৃথক খতিয়ান; সরকার necessary party নয়)</w:t>
      </w:r>
    </w:p>
    <w:p>
      <w:r>
        <w:rPr>
          <w:rFonts w:ascii="Kalpurush" w:cs="Kalpurush" w:eastAsia="Kalpurush" w:hAnsi="Kalpurush"/>
          <w:sz w:val="20"/>
          <w:szCs w:val="20"/>
        </w:rPr>
        <w:t xml:space="preserve">১২. </w:t>
      </w:r>
      <w:r>
        <w:rPr>
          <w:rFonts w:ascii="Kalpurush" w:cs="Kalpurush" w:eastAsia="Kalpurush" w:hAnsi="Kalpurush"/>
          <w:b/>
          <w:bCs/>
          <w:sz w:val="20"/>
          <w:szCs w:val="20"/>
        </w:rPr>
        <w:t xml:space="preserve">Relief</w:t>
      </w:r>
      <w:r>
        <w:rPr>
          <w:rFonts w:ascii="Kalpurush" w:cs="Kalpurush" w:eastAsia="Kalpurush" w:hAnsi="Kalpurush"/>
          <w:sz w:val="20"/>
          <w:szCs w:val="20"/>
        </w:rPr>
        <w:t xml:space="preserve"> (Primary: Preliminary Decree; Alternative: Remand under Order XLI Rule 23/23A)</w:t>
      </w:r>
    </w:p>
    <w:p>
      <w:r>
        <w:rPr>
          <w:rFonts w:ascii="Kalpurush" w:cs="Kalpurush" w:eastAsia="Kalpurush" w:hAnsi="Kalpurush"/>
        </w:rPr>
        <w:t xml:space="preserve"/>
      </w:r>
    </w:p>
    <w:p>
      <w:r>
        <w:rPr>
          <w:rFonts w:ascii="Kalpurush" w:cs="Kalpurush" w:eastAsia="Kalpurush" w:hAnsi="Kalpurush"/>
          <w:sz w:val="20"/>
          <w:szCs w:val="20"/>
        </w:rPr>
        <w:t xml:space="preserve">*(1957 deed — Step 3-4-এর মধ্যে SA 238-এর corroborative circumstance হিসেবে উপস্থাপন করিবেন, মূল title-source হিসেবে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2026-08-15T10:32:21.281Z</dcterms:created>
  <dcterms:modified xsi:type="dcterms:W3CDTF">2026-08-15T10:32:21.281Z</dcterms:modified>
</cp:coreProperties>
</file>

<file path=docProps/custom.xml><?xml version="1.0" encoding="utf-8"?>
<Properties xmlns="http://schemas.openxmlformats.org/officeDocument/2006/custom-properties" xmlns:vt="http://schemas.openxmlformats.org/officeDocument/2006/docPropsVTypes"/>
</file>