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r>
        <w:rPr>
          <w:rFonts w:ascii="Kalpurush" w:cs="Kalpurush" w:eastAsia="Kalpurush" w:hAnsi="Kalpurush"/>
          <w:sz w:val="20"/>
          <w:szCs w:val="20"/>
        </w:rPr>
        <w:t xml:space="preserve">(বাটোয়ারা মামলা নং ৬৬/২০১৬, সখিপুর সিভিল জজ আদালত হইতে উদ্ভূত)</w:t>
      </w:r>
    </w:p>
    <w:p>
      <w:r>
        <w:rPr>
          <w:rFonts w:ascii="Kalpurush" w:cs="Kalpurush" w:eastAsia="Kalpurush" w:hAnsi="Kalpurush"/>
        </w:rPr>
        <w:t xml:space="preserve"/>
      </w:r>
    </w:p>
    <w:p>
      <w:r>
        <w:rPr>
          <w:rFonts w:ascii="Kalpurush" w:cs="Kalpurush" w:eastAsia="Kalpurush" w:hAnsi="Kalpurush"/>
          <w:b/>
          <w:bCs/>
          <w:sz w:val="20"/>
          <w:szCs w:val="20"/>
        </w:rPr>
        <w:t xml:space="preserve">হাতেম আলী ও অন্যান্য</w:t>
      </w:r>
      <w:r>
        <w:rPr>
          <w:rFonts w:ascii="Kalpurush" w:cs="Kalpurush" w:eastAsia="Kalpurush" w:hAnsi="Kalpurush"/>
          <w:sz w:val="20"/>
          <w:szCs w:val="20"/>
        </w:rPr>
        <w:t xml:space="preserve"> (আপীল্যান্ট/বাদী)  </w:t>
      </w:r>
    </w:p>
    <w:p>
      <w:r>
        <w:rPr>
          <w:rFonts w:ascii="Kalpurush" w:cs="Kalpurush" w:eastAsia="Kalpurush" w:hAnsi="Kalpurush"/>
          <w:sz w:val="20"/>
          <w:szCs w:val="20"/>
        </w:rPr>
        <w:t xml:space="preserve">বনাম  </w:t>
      </w:r>
    </w:p>
    <w:p>
      <w:r>
        <w:rPr>
          <w:rFonts w:ascii="Kalpurush" w:cs="Kalpurush" w:eastAsia="Kalpurush" w:hAnsi="Kalpurush"/>
          <w:b/>
          <w:bCs/>
          <w:sz w:val="20"/>
          <w:szCs w:val="20"/>
        </w:rPr>
        <w:t xml:space="preserve">আলহাজ উদ্দিন ও অন্যান্য</w:t>
      </w:r>
      <w:r>
        <w:rPr>
          <w:rFonts w:ascii="Kalpurush" w:cs="Kalpurush" w:eastAsia="Kalpurush" w:hAnsi="Kalpurush"/>
          <w:sz w:val="20"/>
          <w:szCs w:val="20"/>
        </w:rPr>
        <w:t xml:space="preserve"> (রেসপনডেন্ট/বিবাদী)</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আপীল্যান্টপক্ষের অতিরিক্ত/পরিপূরক লিখিত যুক্তিতর্ক</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আদালতের সদয় অবগতির জন্য নিবেদন এই যে, আপীল মেমোরিয়ালে উত্থাপিত grounds-সমূহের ধারাবাহিকতায় নিম্নোক্ত বিষয়সমূহ বিশেষভাবে বিবেচনার দাবি রাখে। বিজ্ঞ ট্রায়াল কোর্টের রায় মূলত অনুমাননির্ভর এবং প্রতিষ্ঠিত আইনি নীতিমালার পরিপন্থী, যা নিম্নে ধারাবাহিকভাবে খণ্ডন করা হলো: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১. মূল স্বত্বাধিকারীর পরিচয় নির্ধারণে রেকর্ডের ধারাবাহিকতার অভাব</w:t>
      </w:r>
    </w:p>
    <w:p>
      <w:r>
        <w:rPr>
          <w:rFonts w:ascii="Kalpurush" w:cs="Kalpurush" w:eastAsia="Kalpurush" w:hAnsi="Kalpurush"/>
        </w:rPr>
        <w:t xml:space="preserve"/>
      </w:r>
    </w:p>
    <w:p>
      <w:r>
        <w:rPr>
          <w:rFonts w:ascii="Kalpurush" w:cs="Kalpurush" w:eastAsia="Kalpurush" w:hAnsi="Kalpurush"/>
          <w:b/>
          <w:bCs/>
          <w:sz w:val="20"/>
          <w:szCs w:val="20"/>
        </w:rPr>
        <w:t xml:space="preserve">ক. বিজ্ঞ ট্রায়াল কোর্টের সিদ্ধান্ত:</w:t>
      </w:r>
    </w:p>
    <w:p>
      <w:r>
        <w:rPr>
          <w:rFonts w:ascii="Kalpurush" w:cs="Kalpurush" w:eastAsia="Kalpurush" w:hAnsi="Kalpurush"/>
          <w:sz w:val="20"/>
          <w:szCs w:val="20"/>
        </w:rPr>
        <w:t xml:space="preserve">বিজ্ঞ আদালত বিবাদীপক্ষের বক্তব্য গ্রহণ করে ধরে নিয়েছেন যে আব্দুল করিম ১৯৩৪ সালে পত্তনমূলে নালিশী জমির রায়ত ছিলেন এবং তার মৃত্যুতে উত্তরাধিকার সূত্রে সোনাভানু মালিকানা প্রাপ্ত হন।</w:t>
      </w:r>
    </w:p>
    <w:p>
      <w:r>
        <w:rPr>
          <w:rFonts w:ascii="Kalpurush" w:cs="Kalpurush" w:eastAsia="Kalpurush" w:hAnsi="Kalpurush"/>
        </w:rPr>
        <w:t xml:space="preserve"/>
      </w:r>
    </w:p>
    <w:p>
      <w:r>
        <w:rPr>
          <w:rFonts w:ascii="Kalpurush" w:cs="Kalpurush" w:eastAsia="Kalpurush" w:hAnsi="Kalpurush"/>
          <w:b/>
          <w:bCs/>
          <w:sz w:val="20"/>
          <w:szCs w:val="20"/>
        </w:rPr>
        <w:t xml:space="preserve">খ. কেন এই সিদ্ধান্ত অসম্ভব:</w:t>
      </w:r>
    </w:p>
    <w:p>
      <w:r>
        <w:rPr>
          <w:rFonts w:ascii="Kalpurush" w:cs="Kalpurush" w:eastAsia="Kalpurush" w:hAnsi="Kalpurush"/>
          <w:sz w:val="20"/>
          <w:szCs w:val="20"/>
        </w:rPr>
        <w:t xml:space="preserve">বিবাদীপক্ষের সম্পূর্ণ দাবি দাঁড়িয়ে আছে একটি foundational proposition-এর ওপর: আব্দুল করিম → প্রজা → উত্তরাধিকার → সোনাভানু → পরবর্তী হস্তান্তর। কিন্তু আব্দুল করিম কীভাবে বা কোন বৈধ দলিলের মাধ্যমে নালিশী জমির রায়ত হলেন, তার কোনো দালিলিক প্রমাণ (যেমন: পাট্টা, কবুলিয়ত, বা অনুমোদিত সেটেলমেন্ট ডকুমেন্ট) আদালতে উপস্থাপন করা হয়নি। চেইনের প্রথম ভিত্তিটিই যদি দালিলিক প্রমাণে প্রতিষ্ঠিত না হয়, তবে পরবর্তী চেইনের ওপর ভিত্তি করে স্বত্ব প্রতিষ্ঠা করা অসম্ভব।</w:t>
      </w:r>
    </w:p>
    <w:p>
      <w:r>
        <w:rPr>
          <w:rFonts w:ascii="Kalpurush" w:cs="Kalpurush" w:eastAsia="Kalpurush" w:hAnsi="Kalpurush"/>
        </w:rPr>
        <w:t xml:space="preserve"/>
      </w:r>
    </w:p>
    <w:p>
      <w:r>
        <w:rPr>
          <w:rFonts w:ascii="Kalpurush" w:cs="Kalpurush" w:eastAsia="Kalpurush" w:hAnsi="Kalpurush"/>
          <w:b/>
          <w:bCs/>
          <w:sz w:val="20"/>
          <w:szCs w:val="20"/>
        </w:rPr>
        <w:t xml:space="preserve">গ. বিরোধী সাক্ষ্য বা দালিলিক প্রমাণ:</w:t>
      </w:r>
    </w:p>
    <w:p>
      <w:r>
        <w:rPr>
          <w:rFonts w:ascii="Kalpurush" w:cs="Kalpurush" w:eastAsia="Kalpurush" w:hAnsi="Kalpurush"/>
          <w:sz w:val="20"/>
          <w:szCs w:val="20"/>
        </w:rPr>
        <w:t xml:space="preserve">নালিশী সম্পত্তির পূর্ববর্তী CS রেকর্ডে (CS খতিয়ান ২) আব্দুল করিমের নাম ব্যক্তিগত রায়ত হিসেবে নেই, বরং এটি নবাব এস্টেটের খাস জমি হিসেবে প্রতিফলিত। কোনো ব্যক্তিগত রায়তের নাম না থাকা এবং বিবাদীপক্ষের ১৯৩৪ সালের কথিত পত্তনের কোনো দালিলিক প্রমাণ (primary evidence) দেখাতে ব্যর্থ হওয়া প্রমাণ করে যে আব্দুল করিমের মালিকানার দাবিটি ভিত্তিহীন। </w:t>
      </w:r>
    </w:p>
    <w:p>
      <w:r>
        <w:rPr>
          <w:rFonts w:ascii="Kalpurush" w:cs="Kalpurush" w:eastAsia="Kalpurush" w:hAnsi="Kalpurush"/>
        </w:rPr>
        <w:t xml:space="preserve"/>
      </w:r>
    </w:p>
    <w:p>
      <w:r>
        <w:rPr>
          <w:rFonts w:ascii="Kalpurush" w:cs="Kalpurush" w:eastAsia="Kalpurush" w:hAnsi="Kalpurush"/>
          <w:b/>
          <w:bCs/>
          <w:sz w:val="20"/>
          <w:szCs w:val="20"/>
        </w:rPr>
        <w:t xml:space="preserve">ঘ. প্রযোজ্য আইনি নজির (Authority):</w:t>
      </w:r>
    </w:p>
    <w:p>
      <w:r>
        <w:rPr>
          <w:rFonts w:ascii="Kalpurush" w:cs="Kalpurush" w:eastAsia="Kalpurush" w:hAnsi="Kalpurush"/>
          <w:b/>
          <w:bCs/>
          <w:sz w:val="20"/>
          <w:szCs w:val="20"/>
        </w:rPr>
        <w:t xml:space="preserve">12 BLC (AD) 79 (Harun-al-Rashid vs. Bangladesh) ও 42 DLR (HD) 434 (Noor Mohammad Khan vs. Government):</w:t>
      </w:r>
      <w:r>
        <w:rPr>
          <w:rFonts w:ascii="Kalpurush" w:cs="Kalpurush" w:eastAsia="Kalpurush" w:hAnsi="Kalpurush"/>
          <w:sz w:val="20"/>
          <w:szCs w:val="20"/>
        </w:rPr>
        <w:t xml:space="preserve"> মহামান্য সুপ্রিম কোর্টের এই নজিরগুলো স্পষ্টভাবে প্রতিষ্ঠিত করে যে, যথাযথ কর্তৃপক্ষের অনুমোদন বা বৈধ ভিত্তি ছাড়া কথিত পত্তন বা স্বত্ব দাবি আইনত অকার্যকর। এই নজির বিজ্ঞ আদালতের অনুমাননির্ভর সিদ্ধান্তকে সরাসরি খণ্ডন করে।</w:t>
      </w:r>
    </w:p>
    <w:p>
      <w:r>
        <w:rPr>
          <w:rFonts w:ascii="Kalpurush" w:cs="Kalpurush" w:eastAsia="Kalpurush" w:hAnsi="Kalpurush"/>
        </w:rPr>
        <w:t xml:space="preserve"/>
      </w:r>
    </w:p>
    <w:p>
      <w:r>
        <w:rPr>
          <w:rFonts w:ascii="Kalpurush" w:cs="Kalpurush" w:eastAsia="Kalpurush" w:hAnsi="Kalpurush"/>
          <w:sz w:val="20"/>
          <w:szCs w:val="20"/>
        </w:rPr>
        <w:t xml:space="preserve">অতএব বিজ্ঞ ট্রায়াল কোর্টের এই সিদ্ধান্ত আইন ও সাক্ষ্যের পরিপন্থী এবং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২. এসএ (SA) ২৩৮ নং খতিয়ানের আইনগত ভিত্তি ও প্রমাণের দায়ভার</w:t>
      </w:r>
    </w:p>
    <w:p>
      <w:r>
        <w:rPr>
          <w:rFonts w:ascii="Kalpurush" w:cs="Kalpurush" w:eastAsia="Kalpurush" w:hAnsi="Kalpurush"/>
        </w:rPr>
        <w:t xml:space="preserve"/>
      </w:r>
    </w:p>
    <w:p>
      <w:r>
        <w:rPr>
          <w:rFonts w:ascii="Kalpurush" w:cs="Kalpurush" w:eastAsia="Kalpurush" w:hAnsi="Kalpurush"/>
          <w:b/>
          <w:bCs/>
          <w:sz w:val="20"/>
          <w:szCs w:val="20"/>
        </w:rPr>
        <w:t xml:space="preserve">ক. বিজ্ঞ ট্রায়াল কোর্টের সিদ্ধান্ত:</w:t>
      </w:r>
    </w:p>
    <w:p>
      <w:r>
        <w:rPr>
          <w:rFonts w:ascii="Kalpurush" w:cs="Kalpurush" w:eastAsia="Kalpurush" w:hAnsi="Kalpurush"/>
          <w:sz w:val="20"/>
          <w:szCs w:val="20"/>
        </w:rPr>
        <w:t xml:space="preserve">বিজ্ঞ আদালত SA ২৩৮ নং খতিয়ানকে ভুল বলে ধরে নিয়েছেন এবং বাদীদের ওপর এই খতিয়ান সঠিক প্রমাণের দায়ভার (burden of proof) চাপিয়েছেন।</w:t>
      </w:r>
    </w:p>
    <w:p>
      <w:r>
        <w:rPr>
          <w:rFonts w:ascii="Kalpurush" w:cs="Kalpurush" w:eastAsia="Kalpurush" w:hAnsi="Kalpurush"/>
        </w:rPr>
        <w:t xml:space="preserve"/>
      </w:r>
    </w:p>
    <w:p>
      <w:r>
        <w:rPr>
          <w:rFonts w:ascii="Kalpurush" w:cs="Kalpurush" w:eastAsia="Kalpurush" w:hAnsi="Kalpurush"/>
          <w:b/>
          <w:bCs/>
          <w:sz w:val="20"/>
          <w:szCs w:val="20"/>
        </w:rPr>
        <w:t xml:space="preserve">খ. কেন এই সিদ্ধান্ত অসম্ভব:</w:t>
      </w:r>
    </w:p>
    <w:p>
      <w:r>
        <w:rPr>
          <w:rFonts w:ascii="Kalpurush" w:cs="Kalpurush" w:eastAsia="Kalpurush" w:hAnsi="Kalpurush"/>
          <w:sz w:val="20"/>
          <w:szCs w:val="20"/>
        </w:rPr>
        <w:t xml:space="preserve">চূড়ান্তভাবে প্রকাশিত (finally published) Record of Rights (ROR) বা এসএ খতিয়ানের একটি statutory presumption of correctness রয়েছে। যে পক্ষ এই রেকর্ডকে ভুল দাবি করে (এক্ষেত্রে বিবাদীপক্ষ), আইন অনুযায়ী সেই পক্ষকেই প্রমাণ করতে হবে কেন এটি ভুল। বিজ্ঞ আদালত এই burden উল্টে দিয়ে বাদীদের ওপর চাপিয়েছেন, যা সাক্ষ্য আইনের সম্পূর্ণ পরিপন্থী।</w:t>
      </w:r>
    </w:p>
    <w:p>
      <w:r>
        <w:rPr>
          <w:rFonts w:ascii="Kalpurush" w:cs="Kalpurush" w:eastAsia="Kalpurush" w:hAnsi="Kalpurush"/>
        </w:rPr>
        <w:t xml:space="preserve"/>
      </w:r>
    </w:p>
    <w:p>
      <w:r>
        <w:rPr>
          <w:rFonts w:ascii="Kalpurush" w:cs="Kalpurush" w:eastAsia="Kalpurush" w:hAnsi="Kalpurush"/>
          <w:b/>
          <w:bCs/>
          <w:sz w:val="20"/>
          <w:szCs w:val="20"/>
        </w:rPr>
        <w:t xml:space="preserve">গ. বিরোধী সাক্ষ্য বা দালিলিক প্রমাণ:</w:t>
      </w:r>
    </w:p>
    <w:p>
      <w:r>
        <w:rPr>
          <w:rFonts w:ascii="Kalpurush" w:cs="Kalpurush" w:eastAsia="Kalpurush" w:hAnsi="Kalpurush"/>
          <w:sz w:val="20"/>
          <w:szCs w:val="20"/>
        </w:rPr>
        <w:t xml:space="preserve">SA ২৩৮ নং খতিয়ানে আব্দুল আলীর নাম এককভাবে রেকর্ডভুক্ত হয়েছে। এই রেকর্ডটি দীর্ঘদিন জেলা রেকর্ড রুমে অপরিবর্তিত রয়েছে। পূর্ববর্তী CS রেকর্ডে কোনো ব্যক্তিগত রায়ত না থাকা এবং SA রেকর্ডে আব্দুল আলীর নাম আসা, এবং পরবর্তী registered transaction (১৯৫৭ সালের ২৩৯৮ নং দলিল) আব্দুল আলীর নামের সাথে সামঞ্জস্যপূর্ণ হওয়া—এই সমস্ত পরিস্থিতি SA রেকর্ডের সত্যতা প্রমাণ করে। বিবাদীপক্ষ এই রেকর্ডের বিপরীতে কোনো শক্তিশালী foundational document দেখাতে পারেনি।</w:t>
      </w:r>
    </w:p>
    <w:p>
      <w:r>
        <w:rPr>
          <w:rFonts w:ascii="Kalpurush" w:cs="Kalpurush" w:eastAsia="Kalpurush" w:hAnsi="Kalpurush"/>
        </w:rPr>
        <w:t xml:space="preserve"/>
      </w:r>
    </w:p>
    <w:p>
      <w:r>
        <w:rPr>
          <w:rFonts w:ascii="Kalpurush" w:cs="Kalpurush" w:eastAsia="Kalpurush" w:hAnsi="Kalpurush"/>
          <w:b/>
          <w:bCs/>
          <w:sz w:val="20"/>
          <w:szCs w:val="20"/>
        </w:rPr>
        <w:t xml:space="preserve">ঘ. প্রযোজ্য আইনি নজির (Authority):</w:t>
      </w:r>
    </w:p>
    <w:p>
      <w:r>
        <w:rPr>
          <w:rFonts w:ascii="Kalpurush" w:cs="Kalpurush" w:eastAsia="Kalpurush" w:hAnsi="Kalpurush"/>
          <w:b/>
          <w:bCs/>
          <w:sz w:val="20"/>
          <w:szCs w:val="20"/>
        </w:rPr>
        <w:t xml:space="preserve">56 DLR (AD) 53 (Government vs. AKM Abdul Hye), 50 DLR (HD) 186 (Dayal Chandra Mondal vs. Custodian), এবং 26 BLC (AD) 78 (Tapash Kanti vs. Sailandra Kumar):</w:t>
      </w:r>
      <w:r>
        <w:rPr>
          <w:rFonts w:ascii="Kalpurush" w:cs="Kalpurush" w:eastAsia="Kalpurush" w:hAnsi="Kalpurush"/>
          <w:sz w:val="20"/>
          <w:szCs w:val="20"/>
        </w:rPr>
        <w:t xml:space="preserve"> এই রায়গুলো সুনির্দিষ্টভাবে বলে যে, এসএ/আরএস রেকর্ডের পূর্ণ presumption of correctness রয়েছে। একবার বাদীপক্ষ রেকর্ড প্রমাণ করলে, তা ভুল প্রমাণের দায়িত্ব বিবাদীপক্ষের ওপর বর্তায়। বিজ্ঞ আদালত Evidence Act-এর Section 103 লঙ্ঘন করে এই নজিরগুলোকে অমান্য করেছেন।</w:t>
      </w:r>
    </w:p>
    <w:p>
      <w:r>
        <w:rPr>
          <w:rFonts w:ascii="Kalpurush" w:cs="Kalpurush" w:eastAsia="Kalpurush" w:hAnsi="Kalpurush"/>
        </w:rPr>
        <w:t xml:space="preserve"/>
      </w:r>
    </w:p>
    <w:p>
      <w:r>
        <w:rPr>
          <w:rFonts w:ascii="Kalpurush" w:cs="Kalpurush" w:eastAsia="Kalpurush" w:hAnsi="Kalpurush"/>
          <w:sz w:val="20"/>
          <w:szCs w:val="20"/>
        </w:rPr>
        <w:t xml:space="preserve">অতএব বিজ্ঞ ট্রায়াল কোর্টের এই সিদ্ধান্ত আইন ও সাক্ষ্যের পরিপন্থী এবং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৩. ১৯৬৯ সালের কথিত বিবিধ মোকদ্দমা (Misc Case 1181) এবং এসি ল্যান্ড ভলিউম সংশোধনীর অসারতা</w:t>
      </w:r>
    </w:p>
    <w:p>
      <w:r>
        <w:rPr>
          <w:rFonts w:ascii="Kalpurush" w:cs="Kalpurush" w:eastAsia="Kalpurush" w:hAnsi="Kalpurush"/>
        </w:rPr>
        <w:t xml:space="preserve"/>
      </w:r>
    </w:p>
    <w:p>
      <w:r>
        <w:rPr>
          <w:rFonts w:ascii="Kalpurush" w:cs="Kalpurush" w:eastAsia="Kalpurush" w:hAnsi="Kalpurush"/>
          <w:b/>
          <w:bCs/>
          <w:sz w:val="20"/>
          <w:szCs w:val="20"/>
        </w:rPr>
        <w:t xml:space="preserve">ক. বিজ্ঞ ট্রায়াল কোর্টের সিদ্ধান্ত:</w:t>
      </w:r>
    </w:p>
    <w:p>
      <w:r>
        <w:rPr>
          <w:rFonts w:ascii="Kalpurush" w:cs="Kalpurush" w:eastAsia="Kalpurush" w:hAnsi="Kalpurush"/>
          <w:sz w:val="20"/>
          <w:szCs w:val="20"/>
        </w:rPr>
        <w:t xml:space="preserve">বিজ্ঞ আদালত ১৯৬৯ সালের কথিত Misc Case No. 1181-এর ওপর ভিত্তি করে এসি ল্যান্ড (AC Land) ভলিউমের একটি ভুক্তিকে (entry) সত্য বলে মেনে নিয়েছেন এবং এর দ্বারা স্বত্ব পরিবর্তিত হয়েছে বলে সিদ্ধান্ত দিয়েছেন।</w:t>
      </w:r>
    </w:p>
    <w:p>
      <w:r>
        <w:rPr>
          <w:rFonts w:ascii="Kalpurush" w:cs="Kalpurush" w:eastAsia="Kalpurush" w:hAnsi="Kalpurush"/>
        </w:rPr>
        <w:t xml:space="preserve"/>
      </w:r>
    </w:p>
    <w:p>
      <w:r>
        <w:rPr>
          <w:rFonts w:ascii="Kalpurush" w:cs="Kalpurush" w:eastAsia="Kalpurush" w:hAnsi="Kalpurush"/>
          <w:b/>
          <w:bCs/>
          <w:sz w:val="20"/>
          <w:szCs w:val="20"/>
        </w:rPr>
        <w:t xml:space="preserve">খ. কেন এই সিদ্ধান্ত অসম্ভব:</w:t>
      </w:r>
    </w:p>
    <w:p>
      <w:r>
        <w:rPr>
          <w:rFonts w:ascii="Kalpurush" w:cs="Kalpurush" w:eastAsia="Kalpurush" w:hAnsi="Kalpurush"/>
          <w:sz w:val="20"/>
          <w:szCs w:val="20"/>
        </w:rPr>
        <w:t xml:space="preserve">বিবাদীপক্ষ কথিত Misc Case-এর কোনো application, order sheet, judgment, certified copy, বা final order আদালতে দাখিল করতে পারেনি। একটি parent proceeding-এর primary record ছাড়া শুধু একটি AC Land volume entry-এর ওপর নির্ভর করে substantive title/tenancy interest পরিবর্তন করা আইনত অসম্ভব। তাছাড়া, একটি Misc Case-এর order দ্বারা (যদি থাকতও) Substantive Civil Title adjudicated হতে পারে না, কারণ এটি summary proceeding।</w:t>
      </w:r>
    </w:p>
    <w:p>
      <w:r>
        <w:rPr>
          <w:rFonts w:ascii="Kalpurush" w:cs="Kalpurush" w:eastAsia="Kalpurush" w:hAnsi="Kalpurush"/>
        </w:rPr>
        <w:t xml:space="preserve"/>
      </w:r>
    </w:p>
    <w:p>
      <w:r>
        <w:rPr>
          <w:rFonts w:ascii="Kalpurush" w:cs="Kalpurush" w:eastAsia="Kalpurush" w:hAnsi="Kalpurush"/>
          <w:b/>
          <w:bCs/>
          <w:sz w:val="20"/>
          <w:szCs w:val="20"/>
        </w:rPr>
        <w:t xml:space="preserve">গ. বিরোধী সাক্ষ্য বা দালিলিক প্রমাণ:</w:t>
      </w:r>
    </w:p>
    <w:p>
      <w:r>
        <w:rPr>
          <w:rFonts w:ascii="Kalpurush" w:cs="Kalpurush" w:eastAsia="Kalpurush" w:hAnsi="Kalpurush"/>
          <w:sz w:val="20"/>
          <w:szCs w:val="20"/>
        </w:rPr>
        <w:t xml:space="preserve">সংশ্লিষ্ট District Record Room-এর statutory record-এ এমন কোনো সংশোধনী নেই। AC Land-এর volume (Working Copy) এবং District Record Room-এর statutory record সমপর্যায়ের নয়। তাছাড়া, কথিত এই সংশোধনীর কারণে যদি সোনাভানু মালিক হন, তবে বেলুয়ার মালিকানার ভিত্তি কী? বিবাদীপক্ষের দলিলগুলোতে বেলুয়ার নাম উল্লেখ থাকা তাদের নিজেদের alleged correction theory-এর সাথেই অসামঞ্জস্যপূর্ণ (Documentary Contradiction)।</w:t>
      </w:r>
    </w:p>
    <w:p>
      <w:r>
        <w:rPr>
          <w:rFonts w:ascii="Kalpurush" w:cs="Kalpurush" w:eastAsia="Kalpurush" w:hAnsi="Kalpurush"/>
        </w:rPr>
        <w:t xml:space="preserve"/>
      </w:r>
    </w:p>
    <w:p>
      <w:r>
        <w:rPr>
          <w:rFonts w:ascii="Kalpurush" w:cs="Kalpurush" w:eastAsia="Kalpurush" w:hAnsi="Kalpurush"/>
          <w:b/>
          <w:bCs/>
          <w:sz w:val="20"/>
          <w:szCs w:val="20"/>
        </w:rPr>
        <w:t xml:space="preserve">ঘ. প্রযোজ্য আইনি নজির (Authority):</w:t>
      </w:r>
    </w:p>
    <w:p>
      <w:r>
        <w:rPr>
          <w:rFonts w:ascii="Kalpurush" w:cs="Kalpurush" w:eastAsia="Kalpurush" w:hAnsi="Kalpurush"/>
          <w:b/>
          <w:bCs/>
          <w:sz w:val="20"/>
          <w:szCs w:val="20"/>
        </w:rPr>
        <w:t xml:space="preserve">27 BLD 544 (Malay Miah vs. Maharam Ali):</w:t>
      </w:r>
      <w:r>
        <w:rPr>
          <w:rFonts w:ascii="Kalpurush" w:cs="Kalpurush" w:eastAsia="Kalpurush" w:hAnsi="Kalpurush"/>
          <w:sz w:val="20"/>
          <w:szCs w:val="20"/>
        </w:rPr>
        <w:t xml:space="preserve"> Misc Case একটি summary proceeding এবং এটি substantive civil title adjudication করতে পারে না।</w:t>
      </w:r>
    </w:p>
    <w:p>
      <w:r>
        <w:rPr>
          <w:rFonts w:ascii="Kalpurush" w:cs="Kalpurush" w:eastAsia="Kalpurush" w:hAnsi="Kalpurush"/>
          <w:b/>
          <w:bCs/>
          <w:sz w:val="20"/>
          <w:szCs w:val="20"/>
        </w:rPr>
        <w:t xml:space="preserve">1 BLT (HD) 18 (Fazlur Rahman vs. Bangladesh) এবং 18 BLC (HD) 235 (Aslam vs. Salauddin):</w:t>
      </w:r>
      <w:r>
        <w:rPr>
          <w:rFonts w:ascii="Kalpurush" w:cs="Kalpurush" w:eastAsia="Kalpurush" w:hAnsi="Kalpurush"/>
          <w:sz w:val="20"/>
          <w:szCs w:val="20"/>
        </w:rPr>
        <w:t xml:space="preserve"> parent judicial order sheet ছাড়া ভিন্ন কালিতে/হাতে লেখা ভলিউম ভুক্তি প্রতারণামূলক এবং Section 143-এর অধীন মিউটেশন মোকদ্দমা কোনো judicial court-এর আদেশ নয়।</w:t>
      </w:r>
    </w:p>
    <w:p>
      <w:r>
        <w:rPr>
          <w:rFonts w:ascii="Kalpurush" w:cs="Kalpurush" w:eastAsia="Kalpurush" w:hAnsi="Kalpurush"/>
          <w:b/>
          <w:bCs/>
          <w:sz w:val="20"/>
          <w:szCs w:val="20"/>
        </w:rPr>
        <w:t xml:space="preserve">4 BLC (HD) 438 (Osmanullah vs. Faizullah):</w:t>
      </w:r>
      <w:r>
        <w:rPr>
          <w:rFonts w:ascii="Kalpurush" w:cs="Kalpurush" w:eastAsia="Kalpurush" w:hAnsi="Kalpurush"/>
          <w:sz w:val="20"/>
          <w:szCs w:val="20"/>
        </w:rPr>
        <w:t xml:space="preserve"> নোটিশ ছাড়া Section 143A-এর অধীন ex-parte আদেশ void ab initio। </w:t>
      </w:r>
    </w:p>
    <w:p>
      <w:r>
        <w:rPr>
          <w:rFonts w:ascii="Kalpurush" w:cs="Kalpurush" w:eastAsia="Kalpurush" w:hAnsi="Kalpurush"/>
          <w:sz w:val="20"/>
          <w:szCs w:val="20"/>
        </w:rPr>
        <w:t xml:space="preserve">এই নজিরগুলো বিজ্ঞ ট্রায়াল কোর্টের ভিত্তিহীন Misc Case নির্ভরতাকে সম্পূর্ণ ধ্বংস করে দেয়।</w:t>
      </w:r>
    </w:p>
    <w:p>
      <w:r>
        <w:rPr>
          <w:rFonts w:ascii="Kalpurush" w:cs="Kalpurush" w:eastAsia="Kalpurush" w:hAnsi="Kalpurush"/>
        </w:rPr>
        <w:t xml:space="preserve"/>
      </w:r>
    </w:p>
    <w:p>
      <w:r>
        <w:rPr>
          <w:rFonts w:ascii="Kalpurush" w:cs="Kalpurush" w:eastAsia="Kalpurush" w:hAnsi="Kalpurush"/>
          <w:sz w:val="20"/>
          <w:szCs w:val="20"/>
        </w:rPr>
        <w:t xml:space="preserve">অতএব বিজ্ঞ ট্রায়াল কোর্টের এই সিদ্ধান্ত আইন ও সাক্ষ্যের পরিপন্থী এবং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৪. ১৯৭৫ সালের ৩৫৯৬ নং দলিলে স্ববিরোধী অবস্থান (Documentary Inconsistency)</w:t>
      </w:r>
    </w:p>
    <w:p>
      <w:r>
        <w:rPr>
          <w:rFonts w:ascii="Kalpurush" w:cs="Kalpurush" w:eastAsia="Kalpurush" w:hAnsi="Kalpurush"/>
        </w:rPr>
        <w:t xml:space="preserve"/>
      </w:r>
    </w:p>
    <w:p>
      <w:r>
        <w:rPr>
          <w:rFonts w:ascii="Kalpurush" w:cs="Kalpurush" w:eastAsia="Kalpurush" w:hAnsi="Kalpurush"/>
          <w:b/>
          <w:bCs/>
          <w:sz w:val="20"/>
          <w:szCs w:val="20"/>
        </w:rPr>
        <w:t xml:space="preserve">ক. বিজ্ঞ ট্রায়াল কোর্টের সিদ্ধান্ত:</w:t>
      </w:r>
    </w:p>
    <w:p>
      <w:r>
        <w:rPr>
          <w:rFonts w:ascii="Kalpurush" w:cs="Kalpurush" w:eastAsia="Kalpurush" w:hAnsi="Kalpurush"/>
          <w:sz w:val="20"/>
          <w:szCs w:val="20"/>
        </w:rPr>
        <w:t xml:space="preserve">বিজ্ঞ আদালত বিবাদীপক্ষের ১৯৭৫ সালের ৩৫৯৬ নং দলিলটি গ্রহণ করেছেন এবং এর উপর ভিত্তি করে তাদের দাবিকে সত্য বলে ধরে নিয়েছেন।</w:t>
      </w:r>
    </w:p>
    <w:p>
      <w:r>
        <w:rPr>
          <w:rFonts w:ascii="Kalpurush" w:cs="Kalpurush" w:eastAsia="Kalpurush" w:hAnsi="Kalpurush"/>
        </w:rPr>
        <w:t xml:space="preserve"/>
      </w:r>
    </w:p>
    <w:p>
      <w:r>
        <w:rPr>
          <w:rFonts w:ascii="Kalpurush" w:cs="Kalpurush" w:eastAsia="Kalpurush" w:hAnsi="Kalpurush"/>
          <w:b/>
          <w:bCs/>
          <w:sz w:val="20"/>
          <w:szCs w:val="20"/>
        </w:rPr>
        <w:t xml:space="preserve">খ. কেন এই সিদ্ধান্ত অসম্ভব:</w:t>
      </w:r>
    </w:p>
    <w:p>
      <w:r>
        <w:rPr>
          <w:rFonts w:ascii="Kalpurush" w:cs="Kalpurush" w:eastAsia="Kalpurush" w:hAnsi="Kalpurush"/>
          <w:sz w:val="20"/>
          <w:szCs w:val="20"/>
        </w:rPr>
        <w:t xml:space="preserve">বিবাদীপক্ষের দাবি অনুযায়ী ১৯৬৯ সালের কথিত correction-এর ফলে SA 238 খতিয়ানটি শুধুমাত্র একটি দাগের (Plot 1259) সম্পত্তিতে সীমাবদ্ধ হয়েছে। অথচ, তাদের নিজেদের ১৯৭৫ সালের Registered Deed (নং ৩৫৯৬)-এ SA 238-এর অধীনে একাধিক (ছয়টি) দাগের বর্ণনা রয়েছে। এই internal inconsistency প্রমাণ করে যে তাদের correction theory বানোয়াট। </w:t>
      </w:r>
    </w:p>
    <w:p>
      <w:r>
        <w:rPr>
          <w:rFonts w:ascii="Kalpurush" w:cs="Kalpurush" w:eastAsia="Kalpurush" w:hAnsi="Kalpurush"/>
        </w:rPr>
        <w:t xml:space="preserve"/>
      </w:r>
    </w:p>
    <w:p>
      <w:r>
        <w:rPr>
          <w:rFonts w:ascii="Kalpurush" w:cs="Kalpurush" w:eastAsia="Kalpurush" w:hAnsi="Kalpurush"/>
          <w:b/>
          <w:bCs/>
          <w:sz w:val="20"/>
          <w:szCs w:val="20"/>
        </w:rPr>
        <w:t xml:space="preserve">গ. বিরোধী সাক্ষ্য বা দালিলিক প্রমাণ:</w:t>
      </w:r>
    </w:p>
    <w:p>
      <w:r>
        <w:rPr>
          <w:rFonts w:ascii="Kalpurush" w:cs="Kalpurush" w:eastAsia="Kalpurush" w:hAnsi="Kalpurush"/>
          <w:sz w:val="20"/>
          <w:szCs w:val="20"/>
        </w:rPr>
        <w:t xml:space="preserve">বিবাদীপক্ষের নিজস্ব দলিল (Deed 3596/1975) সরাসরি তাদের নিজেদের alleged 1969 correction-এর দাবির সাথে সাংঘর্ষিক। এটি Evidence Act-এর admission principle অনুযায়ী তাদের নিজেদের case-এর বিরুদ্ধে একটি শক্তিশালী দালিলিক সাক্ষ্য।</w:t>
      </w:r>
    </w:p>
    <w:p>
      <w:r>
        <w:rPr>
          <w:rFonts w:ascii="Kalpurush" w:cs="Kalpurush" w:eastAsia="Kalpurush" w:hAnsi="Kalpurush"/>
        </w:rPr>
        <w:t xml:space="preserve"/>
      </w:r>
    </w:p>
    <w:p>
      <w:r>
        <w:rPr>
          <w:rFonts w:ascii="Kalpurush" w:cs="Kalpurush" w:eastAsia="Kalpurush" w:hAnsi="Kalpurush"/>
          <w:b/>
          <w:bCs/>
          <w:sz w:val="20"/>
          <w:szCs w:val="20"/>
        </w:rPr>
        <w:t xml:space="preserve">ঘ. প্রযোজ্য আইনি নজির (Authority):</w:t>
      </w:r>
    </w:p>
    <w:p>
      <w:r>
        <w:rPr>
          <w:rFonts w:ascii="Kalpurush" w:cs="Kalpurush" w:eastAsia="Kalpurush" w:hAnsi="Kalpurush"/>
          <w:sz w:val="20"/>
          <w:szCs w:val="20"/>
        </w:rPr>
        <w:t xml:space="preserve">দালিলিক অসামঞ্জস্যতা এবং নিজেদের দাবির বিরুদ্ধে নিজেদের দলিলেই প্রমাণ থাকা Evidence Act-এর স্বতঃসিদ্ধ নিয়ম দ্বারা নিয়ন্ত্রিত, যা বিজ্ঞ আদালত বিবেচনায় নিতে ব্যর্থ হয়েছেন।</w:t>
      </w:r>
    </w:p>
    <w:p>
      <w:r>
        <w:rPr>
          <w:rFonts w:ascii="Kalpurush" w:cs="Kalpurush" w:eastAsia="Kalpurush" w:hAnsi="Kalpurush"/>
        </w:rPr>
        <w:t xml:space="preserve"/>
      </w:r>
    </w:p>
    <w:p>
      <w:r>
        <w:rPr>
          <w:rFonts w:ascii="Kalpurush" w:cs="Kalpurush" w:eastAsia="Kalpurush" w:hAnsi="Kalpurush"/>
          <w:sz w:val="20"/>
          <w:szCs w:val="20"/>
        </w:rPr>
        <w:t xml:space="preserve">অতএব বিজ্ঞ ট্রায়াল কোর্টের এই সিদ্ধান্ত আইন ও সাক্ষ্যের পরিপন্থী এবং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৫. হটচপট (Hotchpot) এবং পক্ষভুক্তির (Non-joinder) ভ্রান্ত প্রয়োগ</w:t>
      </w:r>
    </w:p>
    <w:p>
      <w:r>
        <w:rPr>
          <w:rFonts w:ascii="Kalpurush" w:cs="Kalpurush" w:eastAsia="Kalpurush" w:hAnsi="Kalpurush"/>
        </w:rPr>
        <w:t xml:space="preserve"/>
      </w:r>
    </w:p>
    <w:p>
      <w:r>
        <w:rPr>
          <w:rFonts w:ascii="Kalpurush" w:cs="Kalpurush" w:eastAsia="Kalpurush" w:hAnsi="Kalpurush"/>
          <w:b/>
          <w:bCs/>
          <w:sz w:val="20"/>
          <w:szCs w:val="20"/>
        </w:rPr>
        <w:t xml:space="preserve">ক. বিজ্ঞ ট্রায়াল কোর্টের সিদ্ধান্ত:</w:t>
      </w:r>
    </w:p>
    <w:p>
      <w:r>
        <w:rPr>
          <w:rFonts w:ascii="Kalpurush" w:cs="Kalpurush" w:eastAsia="Kalpurush" w:hAnsi="Kalpurush"/>
          <w:sz w:val="20"/>
          <w:szCs w:val="20"/>
        </w:rPr>
        <w:t xml:space="preserve">বিজ্ঞ ট্রায়াল কোর্ট সিদ্ধান্ত দিয়েছেন যে, ১২৫৯ নম্বর দাগের সরকারি খাস জমি বাটোয়ারার অন্তর্ভুক্ত না করায় মামলাটি Hotchpot defect-এ দুষ্ট এবং সরকারকে পক্ষভুক্ত না করায় (Non-joinder) মামলাটি অচল।</w:t>
      </w:r>
    </w:p>
    <w:p>
      <w:r>
        <w:rPr>
          <w:rFonts w:ascii="Kalpurush" w:cs="Kalpurush" w:eastAsia="Kalpurush" w:hAnsi="Kalpurush"/>
        </w:rPr>
        <w:t xml:space="preserve"/>
      </w:r>
    </w:p>
    <w:p>
      <w:r>
        <w:rPr>
          <w:rFonts w:ascii="Kalpurush" w:cs="Kalpurush" w:eastAsia="Kalpurush" w:hAnsi="Kalpurush"/>
          <w:b/>
          <w:bCs/>
          <w:sz w:val="20"/>
          <w:szCs w:val="20"/>
        </w:rPr>
        <w:t xml:space="preserve">খ. কেন এই সিদ্ধান্ত অসম্ভব:</w:t>
      </w:r>
    </w:p>
    <w:p>
      <w:r>
        <w:rPr>
          <w:rFonts w:ascii="Kalpurush" w:cs="Kalpurush" w:eastAsia="Kalpurush" w:hAnsi="Kalpurush"/>
          <w:sz w:val="20"/>
          <w:szCs w:val="20"/>
        </w:rPr>
        <w:t xml:space="preserve">দাগ একই হতে পারে, কিন্তু খতিয়ান/tenancy identity পৃথক হওয়া সম্ভব। SA 238 একটি পৃথক ব্যক্তিগত tenancy। বাদীরা অন্য খতিয়ানের অন্তর্ভুক্ত Government land-এর ওপর কোনো স্বত্ব বা বাটোয়ারা দাবি করেননি। যে জমির ওপর কোনো share দাবি করা হয়নি, সেটিকে বাদ দেওয়া কোনোভাবেই hotchpot defect সৃষ্টি করে না। তাছাড়া, যেহেতু সরকারের বিরুদ্ধে কোনো প্রতিকার (declaration, recovery, partition) চাওয়া হয়নি, তাই সরকারকে necessary party হিসেবে যুক্ত করার আইনগত কোনো বাধ্যবাধকতা নেই।</w:t>
      </w:r>
    </w:p>
    <w:p>
      <w:r>
        <w:rPr>
          <w:rFonts w:ascii="Kalpurush" w:cs="Kalpurush" w:eastAsia="Kalpurush" w:hAnsi="Kalpurush"/>
        </w:rPr>
        <w:t xml:space="preserve"/>
      </w:r>
    </w:p>
    <w:p>
      <w:r>
        <w:rPr>
          <w:rFonts w:ascii="Kalpurush" w:cs="Kalpurush" w:eastAsia="Kalpurush" w:hAnsi="Kalpurush"/>
          <w:b/>
          <w:bCs/>
          <w:sz w:val="20"/>
          <w:szCs w:val="20"/>
        </w:rPr>
        <w:t xml:space="preserve">গ. বিরোধী সাক্ষ্য বা দালিলিক প্রমাণ:</w:t>
      </w:r>
    </w:p>
    <w:p>
      <w:r>
        <w:rPr>
          <w:rFonts w:ascii="Kalpurush" w:cs="Kalpurush" w:eastAsia="Kalpurush" w:hAnsi="Kalpurush"/>
          <w:sz w:val="20"/>
          <w:szCs w:val="20"/>
        </w:rPr>
        <w:t xml:space="preserve">রেকর্ড দৃষ্টে স্পষ্ট যে, SA 238 একটি সুনির্দিষ্ট খতিয়ান এবং বাদীরা শুধুমাত্র এই খতিয়ানভুক্ত জমির বাটোয়ারা চেয়েছেন। সরকারি খাস জমি পৃথক খতিয়ানের অন্তর্ভুক্ত, যা এই partition-এর subject matter নয়।</w:t>
      </w:r>
    </w:p>
    <w:p>
      <w:r>
        <w:rPr>
          <w:rFonts w:ascii="Kalpurush" w:cs="Kalpurush" w:eastAsia="Kalpurush" w:hAnsi="Kalpurush"/>
        </w:rPr>
        <w:t xml:space="preserve"/>
      </w:r>
    </w:p>
    <w:p>
      <w:r>
        <w:rPr>
          <w:rFonts w:ascii="Kalpurush" w:cs="Kalpurush" w:eastAsia="Kalpurush" w:hAnsi="Kalpurush"/>
          <w:b/>
          <w:bCs/>
          <w:sz w:val="20"/>
          <w:szCs w:val="20"/>
        </w:rPr>
        <w:t xml:space="preserve">ঘ. প্রযোজ্য আইনি নজির (Authority):</w:t>
      </w:r>
    </w:p>
    <w:p>
      <w:r>
        <w:rPr>
          <w:rFonts w:ascii="Kalpurush" w:cs="Kalpurush" w:eastAsia="Kalpurush" w:hAnsi="Kalpurush"/>
          <w:b/>
          <w:bCs/>
          <w:sz w:val="20"/>
          <w:szCs w:val="20"/>
        </w:rPr>
        <w:t xml:space="preserve">27 BLD (HD) 229 (Shahjahan Akon vs. Murshida Khanam):</w:t>
      </w:r>
      <w:r>
        <w:rPr>
          <w:rFonts w:ascii="Kalpurush" w:cs="Kalpurush" w:eastAsia="Kalpurush" w:hAnsi="Kalpurush"/>
          <w:sz w:val="20"/>
          <w:szCs w:val="20"/>
        </w:rPr>
        <w:t xml:space="preserve"> পৃথক খতিয়ান পৃথক tenancy সৃষ্টি করে; সংলগ্ন সরকারি জমি বাদ দিলে hotchpot defect তৈরি হয় না।</w:t>
      </w:r>
    </w:p>
    <w:p>
      <w:r>
        <w:rPr>
          <w:rFonts w:ascii="Kalpurush" w:cs="Kalpurush" w:eastAsia="Kalpurush" w:hAnsi="Kalpurush"/>
          <w:b/>
          <w:bCs/>
          <w:sz w:val="20"/>
          <w:szCs w:val="20"/>
        </w:rPr>
        <w:t xml:space="preserve">49 DLR (AD) 15 (Safaruddin vs. Fazlul Huq):</w:t>
      </w:r>
      <w:r>
        <w:rPr>
          <w:rFonts w:ascii="Kalpurush" w:cs="Kalpurush" w:eastAsia="Kalpurush" w:hAnsi="Kalpurush"/>
          <w:sz w:val="20"/>
          <w:szCs w:val="20"/>
        </w:rPr>
        <w:t xml:space="preserve"> প্রাইভেট কো-শেয়ারারদের মধ্যে বাটোয়ারা মামলায় সরকার necessary party নয়। </w:t>
      </w:r>
    </w:p>
    <w:p>
      <w:r>
        <w:rPr>
          <w:rFonts w:ascii="Kalpurush" w:cs="Kalpurush" w:eastAsia="Kalpurush" w:hAnsi="Kalpurush"/>
          <w:sz w:val="20"/>
          <w:szCs w:val="20"/>
        </w:rPr>
        <w:t xml:space="preserve">এই আইনি নজিরগুলো বিজ্ঞ ট্রায়াল কোর্টের Hotchpot ও Non-joinder সংক্রান্ত সিদ্ধান্তকে আইনগতভাবে বাতিল করে দেয়।</w:t>
      </w:r>
    </w:p>
    <w:p>
      <w:r>
        <w:rPr>
          <w:rFonts w:ascii="Kalpurush" w:cs="Kalpurush" w:eastAsia="Kalpurush" w:hAnsi="Kalpurush"/>
        </w:rPr>
        <w:t xml:space="preserve"/>
      </w:r>
    </w:p>
    <w:p>
      <w:r>
        <w:rPr>
          <w:rFonts w:ascii="Kalpurush" w:cs="Kalpurush" w:eastAsia="Kalpurush" w:hAnsi="Kalpurush"/>
          <w:sz w:val="20"/>
          <w:szCs w:val="20"/>
        </w:rPr>
        <w:t xml:space="preserve">অতএব বিজ্ঞ ট্রায়াল কোর্টের এই সিদ্ধান্ত আইন ও সাক্ষ্যের পরিপন্থী এবং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উপসংহার</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w:t>
      </w:r>
    </w:p>
    <w:p>
      <w:r>
        <w:rPr>
          <w:rFonts w:ascii="Kalpurush" w:cs="Kalpurush" w:eastAsia="Kalpurush" w:hAnsi="Kalpurush"/>
          <w:sz w:val="20"/>
          <w:szCs w:val="20"/>
        </w:rPr>
        <w:t xml:space="preserve">এই আপিলের মূল প্রশ্ন হলো কার দাবির পেছনে একটি সম্পূর্ণ ও আইনসম্মত দালিলিক চেইন রয়েছে। </w:t>
      </w:r>
    </w:p>
    <w:p>
      <w:r>
        <w:rPr>
          <w:rFonts w:ascii="Kalpurush" w:cs="Kalpurush" w:eastAsia="Kalpurush" w:hAnsi="Kalpurush"/>
          <w:b/>
          <w:bCs/>
          <w:sz w:val="20"/>
          <w:szCs w:val="20"/>
        </w:rPr>
        <w:t xml:space="preserve">আপীল্যান্টদের চেইন:</w:t>
      </w:r>
      <w:r>
        <w:rPr>
          <w:rFonts w:ascii="Kalpurush" w:cs="Kalpurush" w:eastAsia="Kalpurush" w:hAnsi="Kalpurush"/>
          <w:sz w:val="20"/>
          <w:szCs w:val="20"/>
        </w:rPr>
        <w:t xml:space="preserve"> CS খাস → State Acquisition → SA 238 (Abdul Ali) → subsequent registered transaction → preserved District record। এই চেইনের প্রতিটি গুরুত্বপূর্ণ লিঙ্ক দালিলিক প্রমাণ দ্বারা প্রতিষ্ঠিত।</w:t>
      </w:r>
    </w:p>
    <w:p>
      <w:r>
        <w:rPr>
          <w:rFonts w:ascii="Kalpurush" w:cs="Kalpurush" w:eastAsia="Kalpurush" w:hAnsi="Kalpurush"/>
          <w:b/>
          <w:bCs/>
          <w:sz w:val="20"/>
          <w:szCs w:val="20"/>
        </w:rPr>
        <w:t xml:space="preserve">বিবাদীপক্ষের চেইন:</w:t>
      </w:r>
      <w:r>
        <w:rPr>
          <w:rFonts w:ascii="Kalpurush" w:cs="Kalpurush" w:eastAsia="Kalpurush" w:hAnsi="Kalpurush"/>
          <w:sz w:val="20"/>
          <w:szCs w:val="20"/>
        </w:rPr>
        <w:t xml:space="preserve"> কথিত 1934 settlement → কথিত inheritance → কথিত Misc Case 1181/1969 → কথিত correction → unexplained AC Land volume entry। এই চেইনের সবচেয়ে গুরুত্বপূর্ণ লিঙ্কগুলোর (root tenancy এবং correction order) কোনো দালিলিক প্রমাণ (primary evidence) নেই।</w:t>
      </w:r>
    </w:p>
    <w:p>
      <w:r>
        <w:rPr>
          <w:rFonts w:ascii="Kalpurush" w:cs="Kalpurush" w:eastAsia="Kalpurush" w:hAnsi="Kalpurush"/>
        </w:rPr>
        <w:t xml:space="preserve"/>
      </w:r>
    </w:p>
    <w:p>
      <w:r>
        <w:rPr>
          <w:rFonts w:ascii="Kalpurush" w:cs="Kalpurush" w:eastAsia="Kalpurush" w:hAnsi="Kalpurush"/>
          <w:sz w:val="20"/>
          <w:szCs w:val="20"/>
        </w:rPr>
        <w:t xml:space="preserve">আমরা বলছি না যে SA record কখনও ভুল হতে পারে না। আমরা বলছি—যে পক্ষ বলছে SA 238 ভুল, সংশোধিত, এবং একজন নতুন ব্যক্তি/উত্তরাধিকারীকে তার মধ্যে substantive interest দেওয়া হয়েছিল, সেই পক্ষকে অন্তত সেই correction-এর legal source (যেমন: Misc Case 1181-এর primary order) দেখাতে হবে। consequential volume entry কখনো foundational proof-এর বিকল্প হতে পারে না। একাধিক দুর্বল circumstance-কে একত্র করে (multiplication of weak circumstances) একটি missing foundation পূরণ করা যায় না—এটাই বিজ্ঞ ট্রায়াল কোর্টের রায়ের মৌলিক দুর্বলতা।</w:t>
      </w:r>
    </w:p>
    <w:p>
      <w:r>
        <w:rPr>
          <w:rFonts w:ascii="Kalpurush" w:cs="Kalpurush" w:eastAsia="Kalpurush" w:hAnsi="Kalpurush"/>
        </w:rPr>
        <w:t xml:space="preserve"/>
      </w:r>
    </w:p>
    <w:p>
      <w:r>
        <w:rPr>
          <w:rFonts w:ascii="Kalpurush" w:cs="Kalpurush" w:eastAsia="Kalpurush" w:hAnsi="Kalpurush"/>
          <w:b/>
          <w:bCs/>
          <w:sz w:val="20"/>
          <w:szCs w:val="20"/>
        </w:rPr>
        <w:t xml:space="preserve">বিনীত প্রার্থনা:</w:t>
      </w:r>
    </w:p>
    <w:p>
      <w:r>
        <w:rPr>
          <w:rFonts w:ascii="Kalpurush" w:cs="Kalpurush" w:eastAsia="Kalpurush" w:hAnsi="Kalpurush"/>
          <w:sz w:val="20"/>
          <w:szCs w:val="20"/>
        </w:rPr>
        <w:t xml:space="preserve">ক. বিজ্ঞ নিম্ন আদালতের ০৫/০৪/২০২৬ তারিখের judgment এবং ০৯/০৪/২০২৬ তারিখের decree বাতিল (set aside) করা হউক;</w:t>
      </w:r>
    </w:p>
    <w:p>
      <w:r>
        <w:rPr>
          <w:rFonts w:ascii="Kalpurush" w:cs="Kalpurush" w:eastAsia="Kalpurush" w:hAnsi="Kalpurush"/>
          <w:sz w:val="20"/>
          <w:szCs w:val="20"/>
        </w:rPr>
        <w:t xml:space="preserve">খ. SA ২৩৮ নং খতিয়ানে প্রতিফলিত আপীল্যান্টদের predecessor-এর স্বত্ব নির্ধারণপূর্বক partition proceeding অগ্রসর করার নির্দেশ প্রদান করা হউক;</w:t>
      </w:r>
    </w:p>
    <w:p>
      <w:r>
        <w:rPr>
          <w:rFonts w:ascii="Kalpurush" w:cs="Kalpurush" w:eastAsia="Kalpurush" w:hAnsi="Kalpurush"/>
          <w:sz w:val="20"/>
          <w:szCs w:val="20"/>
        </w:rPr>
        <w:t xml:space="preserve">গ. আপিল মঞ্জুর করিয়া ন্যায়বিচার নিশ্চিত করা হউক।</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2026-08-14T07:50:37.751Z</dcterms:created>
  <dcterms:modified xsi:type="dcterms:W3CDTF">2026-08-14T07:50:37.751Z</dcterms:modified>
</cp:coreProperties>
</file>

<file path=docProps/custom.xml><?xml version="1.0" encoding="utf-8"?>
<Properties xmlns="http://schemas.openxmlformats.org/officeDocument/2006/custom-properties" xmlns:vt="http://schemas.openxmlformats.org/officeDocument/2006/docPropsVTypes"/>
</file>