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সারাংশ: আপীল মামলা নং ৩৮/২০২৬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(বাটোয়ারা মামলা নং ৬৬/২০১৬)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(আপীল্যান্ট)</w:t>
      </w:r>
      <w:r>
        <w:rPr>
          <w:rFonts w:ascii="Kalpurush" w:cs="Kalpurush" w:eastAsia="Kalpurush" w:hAnsi="Kalpurush"/>
          <w:sz w:val="20"/>
          <w:szCs w:val="20"/>
        </w:rPr>
        <w:t xml:space="preserve"> বনাম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আলহাজ উদ্দিন ও অন্যান্য (রেসপনডেন্ট)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সারাংশটি শুনানিকালে মহামান্য আদালতের সহায়তার জন্য প্রস্তুতকৃত। বিজ্ঞ ট্রায়াল কোর্টের রায় মূলত অনুমাননির্ভর এবং আইনি নীতিমালার পরিপন্থী।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১. রেকর্ডের ধারাবাহিকতার অভাব ও কথিত পত্তন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আদালত বিবাদীপক্ষের দাবি অনুযায়ী ধরে নিয়েছেন যে আব্দুল করিম ১৯৩৪ সালে পত্তনমূলে নালিশী জমির রায়ত ছিলেন।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আব্দুল করিম কীভাবে রায়ত হলেন, তার কোনো দালিলিক প্রমাণ (পাট্টা, কবুলিয়ত) নেই।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CS রেকর্ডে (খতিয়ান ২) আব্দুল করিম ব্যক্তিগত রায়ত ছিলেন না, এটি নবাব এস্টেটের খাস জমি ছিল।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খণ্ডনকারী নজির:</w:t>
      </w:r>
      <w:r>
        <w:rPr>
          <w:rFonts w:ascii="Kalpurush" w:cs="Kalpurush" w:eastAsia="Kalpurush" w:hAnsi="Kalpurush"/>
          <w:sz w:val="20"/>
          <w:szCs w:val="20"/>
        </w:rPr>
        <w:t xml:space="preserve"> 12 BLC (AD) 79 এবং 42 DLR (HD) 434 (যথাযথ কর্তৃপক্ষের অনুমোদন ছাড়া কথিত পত্তন আইনত অকার্যকর)।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২. এসএ (SA) ২৩৮ নং খতিয়ান ও প্রমাণের দায়ভার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আদালত SA ২৩৮ খতিয়ানকে ভুল ধরে নিয়ে বাদীদের ওপর তা সঠিক প্রমাণের দায়ভার চাপিয়েছেন।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চূড়ান্তভাবে প্রকাশিত SA রেকর্ডের statutory presumption of correctness রয়েছে। যে পক্ষ ভুল দাবি করবে, প্রমাণের দায় তার।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SA ২৩৮ নং খতিয়ানে এককভাবে আব্দুল আলীর নাম এবং পরবর্তী ১৯৫৭ সালের ২৩৯৮ নং registered transaction রেকর্ডের সত্যতা প্রমাণ করে।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খণ্ডনকারী নজির:</w:t>
      </w:r>
      <w:r>
        <w:rPr>
          <w:rFonts w:ascii="Kalpurush" w:cs="Kalpurush" w:eastAsia="Kalpurush" w:hAnsi="Kalpurush"/>
          <w:sz w:val="20"/>
          <w:szCs w:val="20"/>
        </w:rPr>
        <w:t xml:space="preserve"> 56 DLR (AD) 53, 50 DLR (HD) 186, এবং 26 BLC (AD) 78 (এসএ/আরএস রেকর্ডের পূর্ণ presumption রয়েছে; ভুল প্রমাণের দায়িত্ব বিবাদীপক্ষের)।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৩. কথিত বিবিধ মোকদ্দমা (Misc Case 1181/1969) এবং ভলিউম সংশোধনী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আদালত ১৯৬৯ সালের Misc Case 1181-এর ওপর ভিত্তি করে AC Land ভলিউমের সংশোধনী সত্য বলে মেনে নিয়েছেন।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 কথিত Misc Case-এর কোনো primary record (application, judgment, order sheet) দাখিল করেনি। Parent proceeding ছাড়া শুধু working volume entry-এর ওপর নির্ভর করে substantive title পরিবর্তন আইনত অসম্ভব।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District Record Room-এর statutory record-এ এমন কোনো সংশোধনী নেই। তাছাড়া, বিবাদীপক্ষের দলিলগুলোতে বেলুয়ার নামের উপস্থিতি তাদের alleged correction theory-এর সাথে দালিলিক অসামঞ্জস্যতা (Documentary Contradiction) তৈরি করে।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খণ্ডনকারী নজির:</w:t>
      </w:r>
      <w:r>
        <w:rPr>
          <w:rFonts w:ascii="Kalpurush" w:cs="Kalpurush" w:eastAsia="Kalpurush" w:hAnsi="Kalpurush"/>
          <w:sz w:val="20"/>
          <w:szCs w:val="20"/>
        </w:rPr>
        <w:t xml:space="preserve"> 27 BLD 544, 1 BLT (HD) 18, 18 BLC (HD) 235, এবং 4 BLC (HD) 438 (parent order ছাড়া ভলিউম ভুক্তি প্রতারণামূলক এবং Section 143/143A-এর অধীন summary proceeding দ্বারা substantive title adjudicate হতে পারে না)।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৪. ১৯৭৫ সালের ৩৫৯৬ নং দলিলে স্ববিরোধী অবস্থান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আদালত বিবাদীপক্ষের ১৯৭৫ সালের ৩৫৯৬ নং দলিলটি গ্রহণ করেছেন।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বিবাদীদের alleged 1969 correction অনুযায়ী SA 238 খতিয়ান এক দাগের (Plot 1259) সম্পত্তিতে সীমাবদ্ধ। অথচ তাদের নিজেদের ১৯৭৫ সালের দলিলে ৬টি দাগের বর্ণনা রয়েছে।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বিবাদীপক্ষের নিজস্ব দলিল সরাসরি তাদের correction theory-এর সাথে সাংঘর্ষিক (Evidence Act-এর admission principle)।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খণ্ডনকারী নজির:</w:t>
      </w:r>
      <w:r>
        <w:rPr>
          <w:rFonts w:ascii="Kalpurush" w:cs="Kalpurush" w:eastAsia="Kalpurush" w:hAnsi="Kalpurush"/>
          <w:sz w:val="20"/>
          <w:szCs w:val="20"/>
        </w:rPr>
        <w:t xml:space="preserve"> দালিলিক অসামঞ্জস্যতা এবং নিজেদের দাবির বিরুদ্ধে নিজেদের দলিলেই প্রমাণ থাকা Evidence Act দ্বারা বারিত।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৫. হটচপট (Hotchpot) এবং পক্ষভুক্তি (Non-joinder)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বিজ্ঞ ট্রায়াল কোর্টের সিদ্ধান্ত:</w:t>
      </w:r>
      <w:r>
        <w:rPr>
          <w:rFonts w:ascii="Kalpurush" w:cs="Kalpurush" w:eastAsia="Kalpurush" w:hAnsi="Kalpurush"/>
          <w:sz w:val="20"/>
          <w:szCs w:val="20"/>
        </w:rPr>
        <w:t xml:space="preserve"> ১২৫৯ দাগের সরকারি খাস জমি বাটোয়ারায় অন্তর্ভুক্ত না করায় Hotchpot defect এবং সরকারকে পক্ষভুক্ত না করায় মামলাটি অচল বলে সিদ্ধান্ত দিয়েছেন।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অসম্ভবতার কারণ:</w:t>
      </w:r>
      <w:r>
        <w:rPr>
          <w:rFonts w:ascii="Kalpurush" w:cs="Kalpurush" w:eastAsia="Kalpurush" w:hAnsi="Kalpurush"/>
          <w:sz w:val="20"/>
          <w:szCs w:val="20"/>
        </w:rPr>
        <w:t xml:space="preserve"> SA 238 একটি পৃথক ব্যক্তিগত tenancy। বাদীরা অন্য খতিয়ানের সরকারি জমির ওপর কোনো দাবি বা বাটোয়ারা চাননি। সরকারের বিরুদ্ধে কোনো প্রতিকার না চাওয়ায় তারা necessary party নয়।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বিরোধী সাক্ষ্য:</w:t>
      </w:r>
      <w:r>
        <w:rPr>
          <w:rFonts w:ascii="Kalpurush" w:cs="Kalpurush" w:eastAsia="Kalpurush" w:hAnsi="Kalpurush"/>
          <w:sz w:val="20"/>
          <w:szCs w:val="20"/>
        </w:rPr>
        <w:t xml:space="preserve"> রেকর্ড অনুযায়ী SA 238 সুনির্দিষ্ট খতিয়ান এবং বাদীরা শুধু এর বাটোয়ারা চেয়েছেন।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খণ্ডনকারী নজির:</w:t>
      </w:r>
      <w:r>
        <w:rPr>
          <w:rFonts w:ascii="Kalpurush" w:cs="Kalpurush" w:eastAsia="Kalpurush" w:hAnsi="Kalpurush"/>
          <w:sz w:val="20"/>
          <w:szCs w:val="20"/>
        </w:rPr>
        <w:t xml:space="preserve"> 27 BLD (HD) 229 (পৃথক খতিয়ান পৃথক tenancy সৃষ্টি করে) এবং 49 DLR (AD) 15 (প্রাইভেট কো-শেয়ারারদের মধ্যে বাটোয়ারায় সরকার necessary party নয়)।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অতএব বিজ্ঞ ট্রায়াল কোর্টের এই সিদ্ধান্ত আইন ও সাক্ষ্যের পরিপন্থী এবং বাতিলযোগ্য।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চূড়ান্ত আবেদন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বিবাদীপক্ষের দাবির পেছনে কোনো আইনি বা দালিলিক ভিত্তি (primary evidence) নেই। Consequential volume entry কখনো foundational proof-এর বিকল্প হতে পারে না।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বিজ্ঞ নিম্ন আদালতের রায় ও ডিক্রি বাতিল করে SA ২৩৮ নং খতিয়ানের ভিত্তিতে বাটোয়ারা অগ্রসর করার বিনীত প্রার্থনা করছি।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2026-08-14T07:50:37.795Z</dcterms:created>
  <dcterms:modified xsi:type="dcterms:W3CDTF">2026-08-14T07:50:37.795Z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