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সারাংশ: আপীল মামলা নং ৩৮/২০২৬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হাতেম আলী ও অন্যান্য (আপীল্যান্ট)</w:t>
      </w:r>
      <w:r>
        <w:rPr>
          <w:rFonts w:ascii="Kalpurush" w:cs="Kalpurush" w:eastAsia="Kalpurush" w:hAnsi="Kalpurush"/>
          <w:sz w:val="20"/>
          <w:szCs w:val="20"/>
        </w:rPr>
        <w:t xml:space="preserve"> বনাম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আলহাজ উদ্দিন ও অন্যান্য (রেসপন্ডেন্ট)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সারাংশটি শুনানিকালে মহামান্য আদালতের সহায়তার জন্য প্রস্তুতকৃত। 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মূল আপীল তত্ত্ব (Core Appellate Theory)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আপীল্যান্টদের বক্তব্য ইহা নহে যে, AC Land বা Revenue Authority-এর রেকর্ড সংশোধনের কোনো আইনি ক্ষমতা নাই। আমাদের সুনির্দিষ্ট বক্তব্য হইল: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বিবাদীপক্ষ যে নির্দিষ্ট substantive পরিবর্তনের (Misc Case 1181/1969) উপর ভিত্তি করিয়া স্বত্ব দাবি করিতেছে, সেই corrective event-এর আইনি উৎস, সিদ্ধান্ত এবং বৈধ দালিলিক প্রমাণ আদালতে আদৌ উপস্থাপিত হয় নাই।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১. The Two-Layer Test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বিবাদীপক্ষকে দুইটি স্তর প্রমাণ করিতে হইবে: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Layer 1:</w:t>
      </w:r>
      <w:r>
        <w:rPr>
          <w:rFonts w:ascii="Kalpurush" w:cs="Kalpurush" w:eastAsia="Kalpurush" w:hAnsi="Kalpurush"/>
          <w:sz w:val="20"/>
          <w:szCs w:val="20"/>
        </w:rPr>
        <w:t xml:space="preserve"> আব্দুল করিমের কি কোনো pre-SA tenancy interest ছিল? (যাহার দালিলিক প্রমাণ নাই)।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Layer 2 (Displacement):</w:t>
      </w:r>
      <w:r>
        <w:rPr>
          <w:rFonts w:ascii="Kalpurush" w:cs="Kalpurush" w:eastAsia="Kalpurush" w:hAnsi="Kalpurush"/>
          <w:sz w:val="20"/>
          <w:szCs w:val="20"/>
        </w:rPr>
        <w:t xml:space="preserve"> যদি मानিয়াও নেওয়া হয় যে interest ছিল, তাহা কীভাবে আইনগতভাবে চূড়ান্ত SA রেকর্ডে আব্দুল আলীর নাম অতিক্রম করিয়া সোনাভানুর বর্তমান স্বত্ব সৃষ্টি করিল?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*প্রথম স্তরের অনুমান দ্বিতীয় স্তরের দালিলিক প্রমাণের বিকল্প হইতে পারে না।*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২. SA ২৩৮-এর Statutory Presumption ও Burden of Proof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Final Record:</w:t>
      </w:r>
      <w:r>
        <w:rPr>
          <w:rFonts w:ascii="Kalpurush" w:cs="Kalpurush" w:eastAsia="Kalpurush" w:hAnsi="Kalpurush"/>
          <w:sz w:val="20"/>
          <w:szCs w:val="20"/>
        </w:rPr>
        <w:t xml:space="preserve"> SA ২৩৮ নং খতিয়ানে আব্দুল আলী একক রায়ত। SAT Act, Sec 144A অনুযায়ী ইহার statutory presumption রহিয়াছে।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Burden: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বিবাদীপক্ষ দাবি করিতেছে রেকর্ড ভুল এবং সংশোধিত। Evidence Act, Sec 103 অনুযায়ী এই affirmative claim-এর দালিলিক প্রমাণ (parent order, certified record) দাখিলের সম্পূর্ণ দায়ভার বিবাদীপক্ষের।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৩. Misc Case 1181/1969 ও Volume Entry-এর অসারতা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Parent Order Missing: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বিবাদীপক্ষ কথিত Misc Case-এর order, judgment বা application দাখিল করিতে পারে নাই।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Volume Entry:</w:t>
      </w:r>
      <w:r>
        <w:rPr>
          <w:rFonts w:ascii="Kalpurush" w:cs="Kalpurush" w:eastAsia="Kalpurush" w:hAnsi="Kalpurush"/>
          <w:sz w:val="20"/>
          <w:szCs w:val="20"/>
        </w:rPr>
        <w:t xml:space="preserve"> Parent proceeding-এর আইনি ভিত্তি ছাড়া, শুধুমাত্র ভিন্ন কালিতে লেখা একটি AC Land volume entry substantive title-এর ভিত্তি হইতে পারে না।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District Record Room:</w:t>
      </w:r>
      <w:r>
        <w:rPr>
          <w:rFonts w:ascii="Kalpurush" w:cs="Kalpurush" w:eastAsia="Kalpurush" w:hAnsi="Kalpurush"/>
          <w:sz w:val="20"/>
          <w:szCs w:val="20"/>
        </w:rPr>
        <w:t xml:space="preserve"> অদ্যাবধি জেলা রেকর্ড রুমে সংরক্ষিত মূল SA ২৩৮ খতিয়ানে আব্দুল আলীর নামই বহাল রহিয়াছে। সংশোধনের কোনো প্রতিফলন সেখানে নাই।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৪. ১৯৭৫ সালের දলিলে স্ববিরোধী অবস্থান (Documentary Contradiction)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১ দাগ বনাম ৬ দাগ: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বিবাদীদের দাবি ১৯৬৯ সালের সংশোধনের ফলে SA ২৩৮ এক দাগে (১২৫৯) সীমাবদ্ধ। অথচ, তাহাদের নিজেদের ১৯৭৫ সালের registered deed-এ SA ২৩৮-এর অধীনে ৬টি দাগ বর্ণিত।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গাণিতিক অসঙ্গতি:</w:t>
      </w:r>
      <w:r>
        <w:rPr>
          <w:rFonts w:ascii="Kalpurush" w:cs="Kalpurush" w:eastAsia="Kalpurush" w:hAnsi="Kalpurush"/>
          <w:sz w:val="20"/>
          <w:szCs w:val="20"/>
        </w:rPr>
        <w:t xml:space="preserve"> ১২৫৯ দাগের মোট জমি ৪৭৭ শতাংশ। অথচ বিবাদীদের দাবি (৩৪৯+১৩৭) = ৪৮৬ শতাংশ (৯ শতাংশ অধিক)। 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৫. Hotchpot ও ১ নং বিবাদীর সোলেনামা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Tenancy Identity:</w:t>
      </w:r>
      <w:r>
        <w:rPr>
          <w:rFonts w:ascii="Kalpurush" w:cs="Kalpurush" w:eastAsia="Kalpurush" w:hAnsi="Kalpurush"/>
          <w:sz w:val="20"/>
          <w:szCs w:val="20"/>
        </w:rPr>
        <w:t xml:space="preserve"> SA ২৩৮ একটি নির্দিষ্ট ব্যক্তিগত tenancy। সরকারি খাস জমি পৃথক খতিয়ানের। আপীল্যান্টরা সরকারি জমি দাবি করে নাই, তাই উহা partition-এর subject matter না হওয়ায় hotchpot defect বা non-joinder প্রযোজ্য নহে।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সোলেনামা:</w:t>
      </w:r>
      <w:r>
        <w:rPr>
          <w:rFonts w:ascii="Kalpurush" w:cs="Kalpurush" w:eastAsia="Kalpurush" w:hAnsi="Kalpurush"/>
          <w:sz w:val="20"/>
          <w:szCs w:val="20"/>
        </w:rPr>
        <w:t xml:space="preserve"> ১ নং বিবাদী (আব্দুল আলীর উত্তরসূরি) আপীল্যান্টদের সহিত বাটোয়ারা সম্পন্ন করার বিষয়ে একমত।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🔒 শুনানির জন্য “Nine-Step Locked Sequence”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১.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SA 238 → Section 144A presumption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২.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Respondents allege later correction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৩.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Where is the parent order?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৪.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What exactly did that order decide?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৫.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What lawful process implemented it?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৬.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Where is the authoritative documentary manifestation of the alleged substantive change?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৭.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Why does the present District Record Room still record Abdul Ali?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৮.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Why does the respondents’ own 1975 deed describe six dags if their theory is one dag?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৯.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Even assuming Abdul Karim had some pre-SA interest, where is the lawful bridge from that interest to Sonabhanu’s present substantive interest?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📝 Filing-এর পূর্বে Counsel-এর জ্ঞাতব্য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State Acquisition and Tenancy Act-এর Section 143 ও 143C-এর আলোকে "Revenue Officer-এর correction power নাই" না বলিয়া "specific correction-এর প্রমাণ নাই" মর্মে যুক্তি উপস্থাপন করিবেন।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27 BLD 229, 45 DLR (AD) 124, 53 DLR 19, 50 DLR 186 নজিরগুলির exact ratio অরিজিনাল ল' রিপোর্ট হইতে verify করিবেন।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18 SCOB [2023] AD 20 (Mrigangka Mohan Dhali) mutation-এর authority হিসাবে ব্যবহার করিবেন না।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2026-08-15T11:44:53.798Z</dcterms:created>
  <dcterms:modified xsi:type="dcterms:W3CDTF">2026-08-15T11:44:53.798Z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