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সারাংশ: আপীল মামলা নং ৩৮/২০২৬</w:t>
      </w:r>
    </w:p>
    <w:p>
      <w:r>
        <w:rPr>
          <w:rFonts w:ascii="Kalpurush" w:cs="Kalpurush" w:eastAsia="Kalpurush" w:hAnsi="Kalpurush"/>
        </w:rPr>
        <w:t xml:space="preserve"/>
      </w:r>
    </w:p>
    <w:p>
      <w:r>
        <w:rPr>
          <w:rFonts w:ascii="Kalpurush" w:cs="Kalpurush" w:eastAsia="Kalpurush" w:hAnsi="Kalpurush"/>
          <w:b/>
          <w:bCs/>
          <w:sz w:val="20"/>
          <w:szCs w:val="20"/>
        </w:rPr>
        <w:t xml:space="preserve">হাতেম আলী ও অন্যান্য (আপীল্যান্ট)</w:t>
      </w:r>
      <w:r>
        <w:rPr>
          <w:rFonts w:ascii="Kalpurush" w:cs="Kalpurush" w:eastAsia="Kalpurush" w:hAnsi="Kalpurush"/>
          <w:sz w:val="20"/>
          <w:szCs w:val="20"/>
        </w:rPr>
        <w:t xml:space="preserve"> বনাম </w:t>
      </w:r>
      <w:r>
        <w:rPr>
          <w:rFonts w:ascii="Kalpurush" w:cs="Kalpurush" w:eastAsia="Kalpurush" w:hAnsi="Kalpurush"/>
          <w:b/>
          <w:bCs/>
          <w:sz w:val="20"/>
          <w:szCs w:val="20"/>
        </w:rPr>
        <w:t xml:space="preserve">আলহাজ উদ্দিন ও অন্যান্য (রেসপন্ডেন্ট)</w:t>
      </w:r>
    </w:p>
    <w:p>
      <w:r>
        <w:rPr>
          <w:rFonts w:ascii="Kalpurush" w:cs="Kalpurush" w:eastAsia="Kalpurush" w:hAnsi="Kalpurush"/>
        </w:rPr>
        <w:t xml:space="preserve"/>
      </w:r>
    </w:p>
    <w:p>
      <w:r>
        <w:rPr>
          <w:rFonts w:ascii="Kalpurush" w:cs="Kalpurush" w:eastAsia="Kalpurush" w:hAnsi="Kalpurush"/>
          <w:sz w:val="20"/>
          <w:szCs w:val="20"/>
        </w:rPr>
        <w:t xml:space="preserve">এই সারাংশটি শুনানিকালে মহামান্য আদালতের সহায়তার জন্য প্রস্তুতকৃত। </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মূল আপীল তত্ত্ব (Core Appellate Theory)</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"আমরা বলছি না যে SA 238 অখণ্ডনীয়। আমরা বলছি—বিবাদীপক্ষ যে particular corrective event-এর উপর নির্ভর করছে, সেটি প্রমাণিত নয়।"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১. Present Record বনাম Alleged Historical Correction</w:t>
      </w:r>
    </w:p>
    <w:p>
      <w:r>
        <w:rPr>
          <w:rFonts w:ascii="Kalpurush" w:cs="Kalpurush" w:eastAsia="Kalpurush" w:hAnsi="Kalpurush"/>
          <w:sz w:val="20"/>
          <w:szCs w:val="20"/>
        </w:rPr>
        <w:t xml:space="preserve">বর্তমান SA 238 একটি identifiable public record (Sec 144A presumption)। পক্ষান্তরে ১৯৬৯ সালের correction একটি historical event—যাহার existence, contents এবং legal effect প্রমাণ করা বিবাদীপক্ষের দায়িত্ব।</w:t>
      </w:r>
    </w:p>
    <w:p>
      <w:r>
        <w:rPr>
          <w:rFonts w:ascii="Kalpurush" w:cs="Kalpurush" w:eastAsia="Kalpurush" w:hAnsi="Kalpurush"/>
          <w:b/>
          <w:bCs/>
          <w:sz w:val="20"/>
          <w:szCs w:val="20"/>
        </w:rPr>
        <w:t xml:space="preserve">SA 238 → Produced.</w:t>
      </w:r>
    </w:p>
    <w:p>
      <w:r>
        <w:rPr>
          <w:rFonts w:ascii="Kalpurush" w:cs="Kalpurush" w:eastAsia="Kalpurush" w:hAnsi="Kalpurush"/>
          <w:b/>
          <w:bCs/>
          <w:sz w:val="20"/>
          <w:szCs w:val="20"/>
        </w:rPr>
        <w:t xml:space="preserve">1969 Correction Parent Order → Not Established.</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২. SA ২৩৮-এর Statutory Presumption ও Burden of Proof</w:t>
      </w:r>
    </w:p>
    <w:p>
      <w:r>
        <w:rPr>
          <w:rFonts w:ascii="Kalpurush" w:cs="Kalpurush" w:eastAsia="Kalpurush" w:hAnsi="Kalpurush"/>
          <w:sz w:val="20"/>
          <w:szCs w:val="20"/>
        </w:rPr>
        <w:t xml:space="preserve">SA ২৩৮ হলো একটি গুরুত্বপূর্ণ statutory evidentiary starting point। আপীল্যান্টদের উপর নিজেদের দাবি প্রমাণের আইনি burden অক্ষুণ্ণ থাকিলেও, বিবাদীপক্ষ যখন একটি নির্দিষ্ট পরবর্তী correction-এর affirmative case গ্রহণ করে, সেই particular corrective event-এর existence, legal source ও factual foundation প্রমাণের burden তাহাদের উপর বর্তায়। (Evidence Act, Section 103)। </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৩. Misc Case 1181/1969 ও Volume Entry-এর অসারতা</w:t>
      </w:r>
    </w:p>
    <w:p>
      <w:pPr>
        <w:pStyle w:val="ListParagraph"/>
        <w:numPr>
          <w:ilvl w:val="0"/>
          <w:numId w:val="1"/>
        </w:numPr>
      </w:pPr>
      <w:r>
        <w:rPr>
          <w:rFonts w:ascii="Kalpurush" w:cs="Kalpurush" w:eastAsia="Kalpurush" w:hAnsi="Kalpurush"/>
          <w:sz w:val="20"/>
          <w:szCs w:val="20"/>
        </w:rPr>
        <w:t xml:space="preserve">  </w:t>
      </w:r>
      <w:r>
        <w:rPr>
          <w:rFonts w:ascii="Kalpurush" w:cs="Kalpurush" w:eastAsia="Kalpurush" w:hAnsi="Kalpurush"/>
          <w:b/>
          <w:bCs/>
          <w:sz w:val="20"/>
          <w:szCs w:val="20"/>
        </w:rPr>
        <w:t xml:space="preserve">Parent Order Missing:</w:t>
      </w:r>
      <w:r>
        <w:rPr>
          <w:rFonts w:ascii="Kalpurush" w:cs="Kalpurush" w:eastAsia="Kalpurush" w:hAnsi="Kalpurush"/>
          <w:sz w:val="20"/>
          <w:szCs w:val="20"/>
        </w:rPr>
        <w:t xml:space="preserve"> বিবাদীপক্ষ কথিত Misc Case-এর order, judgment বা application দাখিল করিতে পারে নাই।</w:t>
      </w:r>
    </w:p>
    <w:p>
      <w:pPr>
        <w:pStyle w:val="ListParagraph"/>
        <w:numPr>
          <w:ilvl w:val="0"/>
          <w:numId w:val="1"/>
        </w:numPr>
      </w:pPr>
      <w:r>
        <w:rPr>
          <w:rFonts w:ascii="Kalpurush" w:cs="Kalpurush" w:eastAsia="Kalpurush" w:hAnsi="Kalpurush"/>
          <w:sz w:val="20"/>
          <w:szCs w:val="20"/>
        </w:rPr>
        <w:t xml:space="preserve">  </w:t>
      </w:r>
      <w:r>
        <w:rPr>
          <w:rFonts w:ascii="Kalpurush" w:cs="Kalpurush" w:eastAsia="Kalpurush" w:hAnsi="Kalpurush"/>
          <w:b/>
          <w:bCs/>
          <w:sz w:val="20"/>
          <w:szCs w:val="20"/>
        </w:rPr>
        <w:t xml:space="preserve">Volume Entry:</w:t>
      </w:r>
      <w:r>
        <w:rPr>
          <w:rFonts w:ascii="Kalpurush" w:cs="Kalpurush" w:eastAsia="Kalpurush" w:hAnsi="Kalpurush"/>
          <w:sz w:val="20"/>
          <w:szCs w:val="20"/>
        </w:rPr>
        <w:t xml:space="preserve"> DW-4 could not satisfactorily establish the provenance, authorship, or legal source of the entry।</w:t>
      </w:r>
    </w:p>
    <w:p>
      <w:pPr>
        <w:pStyle w:val="ListParagraph"/>
        <w:numPr>
          <w:ilvl w:val="0"/>
          <w:numId w:val="1"/>
        </w:numPr>
      </w:pPr>
      <w:r>
        <w:rPr>
          <w:rFonts w:ascii="Kalpurush" w:cs="Kalpurush" w:eastAsia="Kalpurush" w:hAnsi="Kalpurush"/>
          <w:sz w:val="20"/>
          <w:szCs w:val="20"/>
        </w:rPr>
        <w:t xml:space="preserve">  </w:t>
      </w:r>
      <w:r>
        <w:rPr>
          <w:rFonts w:ascii="Kalpurush" w:cs="Kalpurush" w:eastAsia="Kalpurush" w:hAnsi="Kalpurush"/>
          <w:b/>
          <w:bCs/>
          <w:sz w:val="20"/>
          <w:szCs w:val="20"/>
        </w:rPr>
        <w:t xml:space="preserve">District Record Room:</w:t>
      </w:r>
      <w:r>
        <w:rPr>
          <w:rFonts w:ascii="Kalpurush" w:cs="Kalpurush" w:eastAsia="Kalpurush" w:hAnsi="Kalpurush"/>
          <w:sz w:val="20"/>
          <w:szCs w:val="20"/>
        </w:rPr>
        <w:t xml:space="preserve"> বর্তমান District Settlement Record Room-এর SA ২৩৮ এখনো আব্দুল আলীর একক নাম বহন করিতেছে। এই documentary gap-এর গুরুত্ব সমগ্র evidence-এর সঙ্গে মিলিয়া মূল্যায়ন করিবার বিষয়।</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৪. ১৯৭৫ সালের දলিলে স্ববিরোধী অবস্থান (Documentary Contradiction)</w:t>
      </w:r>
    </w:p>
    <w:p>
      <w:r>
        <w:rPr>
          <w:rFonts w:ascii="Kalpurush" w:cs="Kalpurush" w:eastAsia="Kalpurush" w:hAnsi="Kalpurush"/>
          <w:sz w:val="20"/>
          <w:szCs w:val="20"/>
        </w:rPr>
        <w:t xml:space="preserve">বিবাদীদের দাবি ১৯৬৯ সালের সংশোধনের ফলে SA ২৩৮ এক দাগে সীমাবদ্ধ। অথচ, তাহাদের নিজেদের ১৯৭৫ সালের registered deed-এ SA ২৩৮-এর অধীনে ৬টি দাগ বর্ণিত। </w:t>
      </w:r>
    </w:p>
    <w:p>
      <w:r>
        <w:rPr>
          <w:rFonts w:ascii="Kalpurush" w:cs="Kalpurush" w:eastAsia="Kalpurush" w:hAnsi="Kalpurush"/>
          <w:b/>
          <w:bCs/>
          <w:sz w:val="20"/>
          <w:szCs w:val="20"/>
        </w:rPr>
        <w:t xml:space="preserve">এই material contradiction এক-দাগের alleged correction theory-এর সঙ্গে সরাসরি অসামঞ্জস্য সৃষ্টি করে এবং satisfactory explanation ব্যতিরেকে এই theory-কে final SA record-এর বিরুদ্ধে নির্ভরযোগ্য rebuttal হিসেবে গ্রহণ করা কঠিন করে তোলে।</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৫. Hotchpot </w:t>
      </w:r>
    </w:p>
    <w:p>
      <w:r>
        <w:rPr>
          <w:rFonts w:ascii="Kalpurush" w:cs="Kalpurush" w:eastAsia="Kalpurush" w:hAnsi="Kalpurush"/>
          <w:sz w:val="20"/>
          <w:szCs w:val="20"/>
        </w:rPr>
        <w:t xml:space="preserve">On the evidence, the Government portion is separately recorded in Khas Khatian No. 1, while SA 238 records the private raiyati interest. Therefore, mere identity of dag number does not by itself establish that both interests form one common partition pool। </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 শুনানির জন্য “Nine-Step Locked Sequence”</w:t>
      </w:r>
    </w:p>
    <w:p>
      <w:r>
        <w:rPr>
          <w:rFonts w:ascii="Kalpurush" w:cs="Kalpurush" w:eastAsia="Kalpurush" w:hAnsi="Kalpurush"/>
        </w:rPr>
        <w:t xml:space="preserve"/>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SA 238 → Section 144A presumption</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Respondents allege later correction</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Where is the parent order?</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What exactly did that order decide?</w:t>
      </w:r>
    </w:p>
    <w:p>
      <w:r>
        <w:rPr>
          <w:rFonts w:ascii="Kalpurush" w:cs="Kalpurush" w:eastAsia="Kalpurush" w:hAnsi="Kalpurush"/>
          <w:sz w:val="20"/>
          <w:szCs w:val="20"/>
        </w:rPr>
        <w:t xml:space="preserve">৫. </w:t>
      </w:r>
      <w:r>
        <w:rPr>
          <w:rFonts w:ascii="Kalpurush" w:cs="Kalpurush" w:eastAsia="Kalpurush" w:hAnsi="Kalpurush"/>
          <w:b/>
          <w:bCs/>
          <w:sz w:val="20"/>
          <w:szCs w:val="20"/>
        </w:rPr>
        <w:t xml:space="preserve">What lawful process implemented it?</w:t>
      </w:r>
    </w:p>
    <w:p>
      <w:r>
        <w:rPr>
          <w:rFonts w:ascii="Kalpurush" w:cs="Kalpurush" w:eastAsia="Kalpurush" w:hAnsi="Kalpurush"/>
          <w:sz w:val="20"/>
          <w:szCs w:val="20"/>
        </w:rPr>
        <w:t xml:space="preserve">৬. </w:t>
      </w:r>
      <w:r>
        <w:rPr>
          <w:rFonts w:ascii="Kalpurush" w:cs="Kalpurush" w:eastAsia="Kalpurush" w:hAnsi="Kalpurush"/>
          <w:b/>
          <w:bCs/>
          <w:sz w:val="20"/>
          <w:szCs w:val="20"/>
        </w:rPr>
        <w:t xml:space="preserve">Where is the authoritative documentary manifestation of the alleged substantive change?</w:t>
      </w:r>
    </w:p>
    <w:p>
      <w:r>
        <w:rPr>
          <w:rFonts w:ascii="Kalpurush" w:cs="Kalpurush" w:eastAsia="Kalpurush" w:hAnsi="Kalpurush"/>
          <w:sz w:val="20"/>
          <w:szCs w:val="20"/>
        </w:rPr>
        <w:t xml:space="preserve">৭. </w:t>
      </w:r>
      <w:r>
        <w:rPr>
          <w:rFonts w:ascii="Kalpurush" w:cs="Kalpurush" w:eastAsia="Kalpurush" w:hAnsi="Kalpurush"/>
          <w:b/>
          <w:bCs/>
          <w:sz w:val="20"/>
          <w:szCs w:val="20"/>
        </w:rPr>
        <w:t xml:space="preserve">Why does the present District Record Room still record Abdul Ali?</w:t>
      </w:r>
    </w:p>
    <w:p>
      <w:r>
        <w:rPr>
          <w:rFonts w:ascii="Kalpurush" w:cs="Kalpurush" w:eastAsia="Kalpurush" w:hAnsi="Kalpurush"/>
          <w:sz w:val="20"/>
          <w:szCs w:val="20"/>
        </w:rPr>
        <w:t xml:space="preserve">৮. </w:t>
      </w:r>
      <w:r>
        <w:rPr>
          <w:rFonts w:ascii="Kalpurush" w:cs="Kalpurush" w:eastAsia="Kalpurush" w:hAnsi="Kalpurush"/>
          <w:b/>
          <w:bCs/>
          <w:sz w:val="20"/>
          <w:szCs w:val="20"/>
        </w:rPr>
        <w:t xml:space="preserve">Why does the respondents’ own 1975 deed describe six dags if their theory is one dag?</w:t>
      </w:r>
    </w:p>
    <w:p>
      <w:r>
        <w:rPr>
          <w:rFonts w:ascii="Kalpurush" w:cs="Kalpurush" w:eastAsia="Kalpurush" w:hAnsi="Kalpurush"/>
          <w:sz w:val="20"/>
          <w:szCs w:val="20"/>
        </w:rPr>
        <w:t xml:space="preserve">৯. </w:t>
      </w:r>
      <w:r>
        <w:rPr>
          <w:rFonts w:ascii="Kalpurush" w:cs="Kalpurush" w:eastAsia="Kalpurush" w:hAnsi="Kalpurush"/>
          <w:b/>
          <w:bCs/>
          <w:sz w:val="20"/>
          <w:szCs w:val="20"/>
        </w:rPr>
        <w:t xml:space="preserve">Even assuming Abdul Karim had some pre-SA interest, where is the lawful bridge from that interest to Sonabhanu’s present substantive interest?</w:t>
      </w:r>
    </w:p>
    <w:p>
      <w:r>
        <w:rPr>
          <w:rFonts w:ascii="Kalpurush" w:cs="Kalpurush" w:eastAsia="Kalpurush" w:hAnsi="Kalpurush"/>
        </w:rPr>
        <w:t xml:space="preserve"/>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2026-08-15T11:59:19.222Z</dcterms:created>
  <dcterms:modified xsi:type="dcterms:W3CDTF">2026-08-15T11:59:19.222Z</dcterms:modified>
</cp:coreProperties>
</file>

<file path=docProps/custom.xml><?xml version="1.0" encoding="utf-8"?>
<Properties xmlns="http://schemas.openxmlformats.org/officeDocument/2006/custom-properties" xmlns:vt="http://schemas.openxmlformats.org/officeDocument/2006/docPropsVTypes"/>
</file>