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সারাংশ: আপীল মামলা নং ৩৮/২০২৬</w:t>
      </w:r>
    </w:p>
    <w:p>
      <w:r>
        <w:rPr>
          <w:rFonts w:ascii="Kalpurush" w:cs="Kalpurush" w:eastAsia="Kalpurush" w:hAnsi="Kalpurush"/>
        </w:rPr>
        <w:t xml:space="preserve"/>
      </w:r>
    </w:p>
    <w:p>
      <w:r>
        <w:rPr>
          <w:rFonts w:ascii="Kalpurush" w:cs="Kalpurush" w:eastAsia="Kalpurush" w:hAnsi="Kalpurush"/>
          <w:b/>
          <w:bCs/>
          <w:sz w:val="20"/>
          <w:szCs w:val="20"/>
        </w:rPr>
        <w:t xml:space="preserve">হাতেম আলী ও অন্যান্য (আপীল্যান্ট)</w:t>
      </w:r>
      <w:r>
        <w:rPr>
          <w:rFonts w:ascii="Kalpurush" w:cs="Kalpurush" w:eastAsia="Kalpurush" w:hAnsi="Kalpurush"/>
          <w:sz w:val="20"/>
          <w:szCs w:val="20"/>
        </w:rPr>
        <w:t xml:space="preserve"> বনাম </w:t>
      </w:r>
      <w:r>
        <w:rPr>
          <w:rFonts w:ascii="Kalpurush" w:cs="Kalpurush" w:eastAsia="Kalpurush" w:hAnsi="Kalpurush"/>
          <w:b/>
          <w:bCs/>
          <w:sz w:val="20"/>
          <w:szCs w:val="20"/>
        </w:rPr>
        <w:t xml:space="preserve">আলহাজ উদ্দিন ও অন্যান্য (রেসপন্ডেন্ট)</w:t>
      </w:r>
    </w:p>
    <w:p>
      <w:r>
        <w:rPr>
          <w:rFonts w:ascii="Kalpurush" w:cs="Kalpurush" w:eastAsia="Kalpurush" w:hAnsi="Kalpurush"/>
        </w:rPr>
        <w:t xml:space="preserve"/>
      </w:r>
    </w:p>
    <w:p>
      <w:r>
        <w:rPr>
          <w:rFonts w:ascii="Kalpurush" w:cs="Kalpurush" w:eastAsia="Kalpurush" w:hAnsi="Kalpurush"/>
          <w:sz w:val="20"/>
          <w:szCs w:val="20"/>
        </w:rPr>
        <w:t xml:space="preserve">এই সারাংশটি শুনানিকালে মহামান্য আদালতের সহায়তার জন্য প্রস্তুতকৃত। </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মূল আপীল তত্ত্ব (Core Appellate Theory)</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"মহামান্য আদালত, আমরা SA ২৩৮-কে অখণ্ডনীয় বলছি না; আমরা শুধু বলছি—বিবাদীপক্ষ যে particular corrective event-এর মাধ্যমে এই record displaced হয়েছে বলে দাবি করছে, সেই event-এর existence, legal source এবং implementation নির্ভরযোগ্য প্রমাণে প্রতিষ্ঠিত হয়নি।"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 The Two-Layer Test</w:t>
      </w:r>
    </w:p>
    <w:p>
      <w:r>
        <w:rPr>
          <w:rFonts w:ascii="Kalpurush" w:cs="Kalpurush" w:eastAsia="Kalpurush" w:hAnsi="Kalpurush"/>
          <w:sz w:val="20"/>
          <w:szCs w:val="20"/>
        </w:rPr>
        <w:t xml:space="preserve">বিবাদীপক্ষের alleged 1934 tenancy এবং আপীল্যান্টদের present record-based claim একই evidentiary category-র বিষয় নহে। আমরা Abdul Karim-এর alleged tenancy-কে স্বীকার করিয়া তাহার উত্তরাধিকারী হিসেবে নিজেদের title দাবি করছি না। বরং respondents সেই historical tenancy-কে ব্যবহার করিয়াই present SA 238 entry-কে displacement-এর জন্য rely করছে। সুতরাং সেই historical tenancy-এর অস্তিত্ব প্রমাণিত হওয়ার প্রশ্নের পাশাপাশি, তার সঙ্গে present claimed interest-এর মধ্যে lawful nexus বা bridge-ও প্রতিষ্ঠা করা আবশ্যক।</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 SA ২৩৮-এর Statutory Presumption ও Burden of Proof</w:t>
      </w:r>
    </w:p>
    <w:p>
      <w:r>
        <w:rPr>
          <w:rFonts w:ascii="Kalpurush" w:cs="Kalpurush" w:eastAsia="Kalpurush" w:hAnsi="Kalpurush"/>
          <w:sz w:val="20"/>
          <w:szCs w:val="20"/>
        </w:rPr>
        <w:t xml:space="preserve">SA ২৩৮ বর্তমানে প্রাসঙ্গিক last revised record-of-rights এবং Evidence Act/SAT Act-এর বিধান অনুযায়ী ইহার evidentiary effect বিবেচ্য। ধারা ১৪৪A-এর presumption SA ২৩৮-কে conclusive title deed-এ পরিণত করে না; তবে ইহা প্রমাণের প্রাথমিক অবস্থান নির্ধারণ করে। যে পক্ষ entry-টি ভুল বা পরবর্তীতে displaced হয়েছে দাবি করে, সেই দাবির পক্ষে তাকে নির্ভরযোগ্য প্রমাণ উপস্থাপন করতে হবে।</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৩. Misc Case 1181/1969 ও Volume Entry-এর অসারতা</w:t>
      </w:r>
    </w:p>
    <w:p>
      <w:pPr>
        <w:pStyle w:val="ListParagraph"/>
        <w:numPr>
          <w:ilvl w:val="0"/>
          <w:numId w:val="1"/>
        </w:numPr>
      </w:pPr>
      <w:r>
        <w:rPr>
          <w:rFonts w:ascii="Kalpurush" w:cs="Kalpurush" w:eastAsia="Kalpurush" w:hAnsi="Kalpurush"/>
          <w:sz w:val="20"/>
          <w:szCs w:val="20"/>
        </w:rPr>
        <w:t xml:space="preserve">  </w:t>
      </w:r>
      <w:r>
        <w:rPr>
          <w:rFonts w:ascii="Kalpurush" w:cs="Kalpurush" w:eastAsia="Kalpurush" w:hAnsi="Kalpurush"/>
          <w:b/>
          <w:bCs/>
          <w:sz w:val="20"/>
          <w:szCs w:val="20"/>
        </w:rPr>
        <w:t xml:space="preserve">Parent Order Missing:</w:t>
      </w:r>
      <w:r>
        <w:rPr>
          <w:rFonts w:ascii="Kalpurush" w:cs="Kalpurush" w:eastAsia="Kalpurush" w:hAnsi="Kalpurush"/>
          <w:sz w:val="20"/>
          <w:szCs w:val="20"/>
        </w:rPr>
        <w:t xml:space="preserve"> বিবাদীপক্ষ কথিত Misc Case-এর order, judgment বা application দাখিল করিতে পারে নাই।</w:t>
      </w:r>
    </w:p>
    <w:p>
      <w:pPr>
        <w:pStyle w:val="ListParagraph"/>
        <w:numPr>
          <w:ilvl w:val="0"/>
          <w:numId w:val="1"/>
        </w:numPr>
      </w:pPr>
      <w:r>
        <w:rPr>
          <w:rFonts w:ascii="Kalpurush" w:cs="Kalpurush" w:eastAsia="Kalpurush" w:hAnsi="Kalpurush"/>
          <w:sz w:val="20"/>
          <w:szCs w:val="20"/>
        </w:rPr>
        <w:t xml:space="preserve">  </w:t>
      </w:r>
      <w:r>
        <w:rPr>
          <w:rFonts w:ascii="Kalpurush" w:cs="Kalpurush" w:eastAsia="Kalpurush" w:hAnsi="Kalpurush"/>
          <w:b/>
          <w:bCs/>
          <w:sz w:val="20"/>
          <w:szCs w:val="20"/>
        </w:rPr>
        <w:t xml:space="preserve">Volume Entry:</w:t>
      </w:r>
      <w:r>
        <w:rPr>
          <w:rFonts w:ascii="Kalpurush" w:cs="Kalpurush" w:eastAsia="Kalpurush" w:hAnsi="Kalpurush"/>
          <w:sz w:val="20"/>
          <w:szCs w:val="20"/>
        </w:rPr>
        <w:t xml:space="preserve"> DW-4 could not satisfactorily establish the provenance, authorship, or legal source of the entry।</w:t>
      </w:r>
    </w:p>
    <w:p>
      <w:pPr>
        <w:pStyle w:val="ListParagraph"/>
        <w:numPr>
          <w:ilvl w:val="0"/>
          <w:numId w:val="1"/>
        </w:numPr>
      </w:pPr>
      <w:r>
        <w:rPr>
          <w:rFonts w:ascii="Kalpurush" w:cs="Kalpurush" w:eastAsia="Kalpurush" w:hAnsi="Kalpurush"/>
          <w:sz w:val="20"/>
          <w:szCs w:val="20"/>
        </w:rPr>
        <w:t xml:space="preserve">  </w:t>
      </w:r>
      <w:r>
        <w:rPr>
          <w:rFonts w:ascii="Kalpurush" w:cs="Kalpurush" w:eastAsia="Kalpurush" w:hAnsi="Kalpurush"/>
          <w:b/>
          <w:bCs/>
          <w:sz w:val="20"/>
          <w:szCs w:val="20"/>
        </w:rPr>
        <w:t xml:space="preserve">District Record Room:</w:t>
      </w:r>
      <w:r>
        <w:rPr>
          <w:rFonts w:ascii="Kalpurush" w:cs="Kalpurush" w:eastAsia="Kalpurush" w:hAnsi="Kalpurush"/>
          <w:sz w:val="20"/>
          <w:szCs w:val="20"/>
        </w:rPr>
        <w:t xml:space="preserve"> বর্তমান authoritative record-এর সঙ্গে alleged correction-এর claimed substantive effect-এর একটি material inconsistency রয়েছে, যার ব্যাখ্যা respondents-এর evidence দ্বারা দেওয়া প্রয়োজন। বিশেষত যখন বর্তমান District Settlement Record Room-এর SA ২৩৮ এখনো আব্দুল আলীর একক নাম বহন করিতেছে।</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৪. ১৯৭৫ সালের දলিলে Material Documentary Inconsistency</w:t>
      </w:r>
    </w:p>
    <w:p>
      <w:r>
        <w:rPr>
          <w:rFonts w:ascii="Kalpurush" w:cs="Kalpurush" w:eastAsia="Kalpurush" w:hAnsi="Kalpurush"/>
          <w:sz w:val="20"/>
          <w:szCs w:val="20"/>
        </w:rPr>
        <w:t xml:space="preserve">বিবাদীদের দাবি ১৯৬৯ সালের সংশোধনের ফলে SA ২৩৮ এক দাগে সীমাবদ্ধ। অথচ, তাহাদের নিজেদের ১৯৭৫ সালের registered deed-এ SA ২৩৮-এর অধীনে ৬টি দাগ বর্ণিত। </w:t>
      </w:r>
    </w:p>
    <w:p>
      <w:r>
        <w:rPr>
          <w:rFonts w:ascii="Kalpurush" w:cs="Kalpurush" w:eastAsia="Kalpurush" w:hAnsi="Kalpurush"/>
          <w:b/>
          <w:bCs/>
          <w:sz w:val="20"/>
          <w:szCs w:val="20"/>
        </w:rPr>
        <w:t xml:space="preserve">এই material contradiction এক-দাগের alleged correction theory-এর সঙ্গে সরাসরি অসামঞ্জস্য সৃষ্টি করে এবং satisfactory explanation ব্যতিরেকে এই theory-কে final SA record-এর বিরুদ্ধে নির্ভরযোগ্য rebuttal হিসেবে গ্রহণ করা কঠিন করে তোলে।</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৫. Hotchpot </w:t>
      </w:r>
    </w:p>
    <w:p>
      <w:r>
        <w:rPr>
          <w:rFonts w:ascii="Kalpurush" w:cs="Kalpurush" w:eastAsia="Kalpurush" w:hAnsi="Kalpurush"/>
          <w:sz w:val="20"/>
          <w:szCs w:val="20"/>
        </w:rPr>
        <w:t xml:space="preserve">On the evidence, the Government portion is separately recorded in Khas Khatian No. 1, while SA 238 records the private raiyati interest. Therefore, mere identity of dag number does not by itself establish that both interests form one common partition pool। উক্ত circumstances-এ কেবল একই dag number-এর ভিত্তিতে Government portion-কে mandatory hotchpot component হিসেবে গণ্য করার ভিত্তি পৃথকভাবে প্রতিষ্ঠিত হওয়া প্রয়োজন।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 6-Layer Final Locked Theory (শুনানির জন্য)</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Layer 1:</w:t>
      </w:r>
      <w:r>
        <w:rPr>
          <w:rFonts w:ascii="Kalpurush" w:cs="Kalpurush" w:eastAsia="Kalpurush" w:hAnsi="Kalpurush"/>
          <w:sz w:val="20"/>
          <w:szCs w:val="20"/>
        </w:rPr>
        <w:t xml:space="preserve"> আব্দুল করিমের ১৯৩৪ pattan-এর documentary foundation কী?</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Layer 2:</w:t>
      </w:r>
      <w:r>
        <w:rPr>
          <w:rFonts w:ascii="Kalpurush" w:cs="Kalpurush" w:eastAsia="Kalpurush" w:hAnsi="Kalpurush"/>
          <w:sz w:val="20"/>
          <w:szCs w:val="20"/>
        </w:rPr>
        <w:t xml:space="preserve"> ধরে নিলেও Abdul Karim-এর কিছু interest ছিল—সেটা কীভাবে Abdul Ali-এর final SA entry-কে displace করল?</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Layer 3:</w:t>
      </w:r>
      <w:r>
        <w:rPr>
          <w:rFonts w:ascii="Kalpurush" w:cs="Kalpurush" w:eastAsia="Kalpurush" w:hAnsi="Kalpurush"/>
          <w:sz w:val="20"/>
          <w:szCs w:val="20"/>
        </w:rPr>
        <w:t xml:space="preserve"> Misc Case 1181/1969-এর parent order কোথায়?</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Layer 4:</w:t>
      </w:r>
      <w:r>
        <w:rPr>
          <w:rFonts w:ascii="Kalpurush" w:cs="Kalpurush" w:eastAsia="Kalpurush" w:hAnsi="Kalpurush"/>
          <w:sz w:val="20"/>
          <w:szCs w:val="20"/>
        </w:rPr>
        <w:t xml:space="preserve"> কোন authority, কোন proceeding, কোন notice, কীভাবে implementation?</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Layer 5:</w:t>
      </w:r>
      <w:r>
        <w:rPr>
          <w:rFonts w:ascii="Kalpurush" w:cs="Kalpurush" w:eastAsia="Kalpurush" w:hAnsi="Kalpurush"/>
          <w:sz w:val="20"/>
          <w:szCs w:val="20"/>
        </w:rPr>
        <w:t xml:space="preserve"> বর্তমান District Settlement Record Room-এ কেন Abdul Ali-ই এখনও recorded?</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Layer 6:</w:t>
      </w:r>
      <w:r>
        <w:rPr>
          <w:rFonts w:ascii="Kalpurush" w:cs="Kalpurush" w:eastAsia="Kalpurush" w:hAnsi="Kalpurush"/>
          <w:sz w:val="20"/>
          <w:szCs w:val="20"/>
        </w:rPr>
        <w:t xml:space="preserve"> ১৯৭৫ deed-এ six dags—one-dag theory-এর সঙ্গে conflict।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 Filing-এর পূর্বে Counsel-এর জ্ঞাতব্য</w:t>
      </w:r>
    </w:p>
    <w:p>
      <w:pPr>
        <w:pStyle w:val="ListParagraph"/>
        <w:numPr>
          <w:ilvl w:val="0"/>
          <w:numId w:val="1"/>
        </w:numPr>
      </w:pPr>
      <w:r>
        <w:rPr>
          <w:rFonts w:ascii="Kalpurush" w:cs="Kalpurush" w:eastAsia="Kalpurush" w:hAnsi="Kalpurush"/>
          <w:sz w:val="20"/>
          <w:szCs w:val="20"/>
        </w:rPr>
        <w:t xml:space="preserve">  </w:t>
      </w:r>
      <w:r>
        <w:rPr>
          <w:rFonts w:ascii="Kalpurush" w:cs="Kalpurush" w:eastAsia="Kalpurush" w:hAnsi="Kalpurush"/>
          <w:b/>
          <w:bCs/>
          <w:sz w:val="20"/>
          <w:szCs w:val="20"/>
        </w:rPr>
        <w:t xml:space="preserve">Jurisdiction (Sec 145A/145F):</w:t>
      </w:r>
      <w:r>
        <w:rPr>
          <w:rFonts w:ascii="Kalpurush" w:cs="Kalpurush" w:eastAsia="Kalpurush" w:hAnsi="Kalpurush"/>
          <w:sz w:val="20"/>
          <w:szCs w:val="20"/>
        </w:rPr>
        <w:t xml:space="preserve"> Counsel shall independently satisfy the Court, with reference to the plaint, reliefs, cause of action, institution date, and the existence/territorial jurisdiction of a Land Survey Tribunal, that the present suit/appeal is not one ‘arising out of the final publication of the last revised record-of-rights’ within the meaning of Sections 145A/145F. The fact that SA 238 is the last revised ROR makes this jurisdictional examination essential.</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2026-08-15T12:28:10.707Z</dcterms:created>
  <dcterms:modified xsi:type="dcterms:W3CDTF">2026-08-15T12:28:10.707Z</dcterms:modified>
</cp:coreProperties>
</file>

<file path=docProps/custom.xml><?xml version="1.0" encoding="utf-8"?>
<Properties xmlns="http://schemas.openxmlformats.org/officeDocument/2006/custom-properties" xmlns:vt="http://schemas.openxmlformats.org/officeDocument/2006/docPropsVTypes"/>
</file>