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অতিরিক্ত/পরিপূরক লিখিত যুক্তিতর্ক</w:t>
      </w:r>
    </w:p>
    <w:p>
      <w:r>
        <w:rPr>
          <w:rFonts w:ascii="Kalpurush" w:cs="Kalpurush" w:eastAsia="Kalpurush" w:hAnsi="Kalpurush"/>
          <w:b/>
          <w:bCs/>
          <w:sz w:val="20"/>
          <w:szCs w:val="20"/>
        </w:rPr>
        <w:t xml:space="preserve">Version 94</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অবগতির জন্য নিবেদন এই যে, আপীল মেমোরিয়ালে উত্থাপিত grounds-সমূহের ধারাবাহিকতায় নিম্নোক্ত বিষয়সমূহ বিশেষভাবে বিবেচনার দাবি রাখে।</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 মামলার প্রকৃত প্রশ্ন: “কে রায়ত ছিলেন?”—এই প্রশ্নের উত্তর রেকর্ডের ধারাবাহিকতায় খুঁজিতে হইবে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বক্তব্য গ্রহণ করিতে গেলে প্রথমেই একটি foundational প্রশ্নের উত্তর দিতে হয়:</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আব্দুল করিম কীভাবে এবং কোন বৈধ দলিল বা সরকারি রেকর্ডের মাধ্যমে নালিশী জমির রায়ত হইলেন?</w:t>
      </w:r>
    </w:p>
    <w:p>
      <w:r>
        <w:rPr>
          <w:rFonts w:ascii="Kalpurush" w:cs="Kalpurush" w:eastAsia="Kalpurush" w:hAnsi="Kalpurush"/>
        </w:rPr>
        <w:t xml:space="preserve"/>
      </w:r>
    </w:p>
    <w:p>
      <w:r>
        <w:rPr>
          <w:rFonts w:ascii="Kalpurush" w:cs="Kalpurush" w:eastAsia="Kalpurush" w:hAnsi="Kalpurush"/>
          <w:sz w:val="20"/>
          <w:szCs w:val="20"/>
        </w:rPr>
        <w:t xml:space="preserve">SA Act-এর 144A ধারার বিধানমতে SA 238 হলো statutory record-of-rights। আমরা SA 238-কে conclusive title বলছি না; আমরা বলছি respondents-এর alleged displacement proved হয়নি।</w:t>
      </w:r>
    </w:p>
    <w:p>
      <w:r>
        <w:rPr>
          <w:rFonts w:ascii="Kalpurush" w:cs="Kalpurush" w:eastAsia="Kalpurush" w:hAnsi="Kalpurush"/>
        </w:rPr>
        <w:t xml:space="preserve"/>
      </w:r>
    </w:p>
    <w:p>
      <w:r>
        <w:rPr>
          <w:rFonts w:ascii="Kalpurush" w:cs="Kalpurush" w:eastAsia="Kalpurush" w:hAnsi="Kalpurush"/>
          <w:sz w:val="20"/>
          <w:szCs w:val="20"/>
        </w:rPr>
        <w:t xml:space="preserve">এই particular asserted correction-এর factual foundation-এর evidentiary burden এড়িয়ে সরাসরি পরবর্তী উত্তরাধিকার বা ১৯৬৯ সালের কথিত সংশোধনে যাওয়া যায় না।</w:t>
      </w:r>
    </w:p>
    <w:p>
      <w:r>
        <w:rPr>
          <w:rFonts w:ascii="Kalpurush" w:cs="Kalpurush" w:eastAsia="Kalpurush" w:hAnsi="Kalpurush"/>
        </w:rPr>
        <w:t xml:space="preserve"/>
      </w:r>
    </w:p>
    <w:p>
      <w:r>
        <w:rPr>
          <w:rFonts w:ascii="Kalpurush" w:cs="Kalpurush" w:eastAsia="Kalpurush" w:hAnsi="Kalpurush"/>
          <w:sz w:val="20"/>
          <w:szCs w:val="20"/>
        </w:rPr>
        <w:t xml:space="preserve">কারণ, বিবাদীপক্ষের সম্পূর্ণ দাবি দাঁড়িয়ে আছে এই proposition-এর উপর যে—</w:t>
      </w:r>
    </w:p>
    <w:p>
      <w:r>
        <w:rPr>
          <w:rFonts w:ascii="Kalpurush" w:cs="Kalpurush" w:eastAsia="Kalpurush" w:hAnsi="Kalpurush"/>
        </w:rPr>
        <w:t xml:space="preserve"/>
      </w:r>
    </w:p>
    <w:p>
      <w:r>
        <w:rPr>
          <w:rFonts w:ascii="Kalpurush" w:cs="Kalpurush" w:eastAsia="Kalpurush" w:hAnsi="Kalpurush"/>
          <w:sz w:val="20"/>
          <w:szCs w:val="20"/>
        </w:rPr>
        <w:t xml:space="preserve">আব্দুল করিম → প্রজা → মৃত্যুর পর উত্তরাধিকার → সোনাভানু → পরবর্তী হস্তান্তর।</w:t>
      </w:r>
    </w:p>
    <w:p>
      <w:r>
        <w:rPr>
          <w:rFonts w:ascii="Kalpurush" w:cs="Kalpurush" w:eastAsia="Kalpurush" w:hAnsi="Kalpurush"/>
        </w:rPr>
        <w:t xml:space="preserve"/>
      </w:r>
    </w:p>
    <w:p>
      <w:r>
        <w:rPr>
          <w:rFonts w:ascii="Kalpurush" w:cs="Kalpurush" w:eastAsia="Kalpurush" w:hAnsi="Kalpurush"/>
          <w:sz w:val="20"/>
          <w:szCs w:val="20"/>
        </w:rPr>
        <w:t xml:space="preserve">অতএব, chain-এর প্রথম link-টিই যদি নির্ভরযোগ্য প্রমাণে প্রতিষ্ঠিত না হয়, পরবর্তী link-গুলির উপর দাঁড়িয়ে title প্রতিষ্ঠা করা কঠিন হয়ে পড়ে।</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 CS রেকর্ডে ব্যক্তিগত রায়ত না থাকা—পরবর্তী SA রেকর্ড বোঝার ক্ষেত্রে গুরুত্বপূর্ণ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নালিশী সম্পত্তির পূর্ববর্তী CS রেকর্ডে জমি ব্যক্তিগত রায়তি নামে রেকর্ডভুক্ত ছিল না; বরং নবাব এস্টেটের খাস হিসেবে প্রতিফলিত ছিল—এই fact-টি মামলার title history বোঝার ক্ষেত্রে অত্যন্ত গুরুত্বপূর্ণ।</w:t>
      </w:r>
    </w:p>
    <w:p>
      <w:r>
        <w:rPr>
          <w:rFonts w:ascii="Kalpurush" w:cs="Kalpurush" w:eastAsia="Kalpurush" w:hAnsi="Kalpurush"/>
        </w:rPr>
        <w:t xml:space="preserve"/>
      </w:r>
    </w:p>
    <w:p>
      <w:r>
        <w:rPr>
          <w:rFonts w:ascii="Kalpurush" w:cs="Kalpurush" w:eastAsia="Kalpurush" w:hAnsi="Kalpurush"/>
          <w:sz w:val="20"/>
          <w:szCs w:val="20"/>
        </w:rPr>
        <w:t xml:space="preserve">এখানে আপীল্যান্টদের বক্তব্য এই নয় যে—</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“CS record একাই title সৃষ্টি বা ধ্বংস করে।”</w:t>
      </w:r>
    </w:p>
    <w:p>
      <w:r>
        <w:rPr>
          <w:rFonts w:ascii="Kalpurush" w:cs="Kalpurush" w:eastAsia="Kalpurush" w:hAnsi="Kalpurush"/>
        </w:rPr>
        <w:t xml:space="preserve"/>
      </w:r>
    </w:p>
    <w:p>
      <w:r>
        <w:rPr>
          <w:rFonts w:ascii="Kalpurush" w:cs="Kalpurush" w:eastAsia="Kalpurush" w:hAnsi="Kalpurush"/>
          <w:sz w:val="20"/>
          <w:szCs w:val="20"/>
        </w:rPr>
        <w:t xml:space="preserve">বরং বক্তব্যটি আরও সীমিত ও সুনির্দিষ্ট:</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যখন CS record-এ কোনো ব্যক্তিগত raiyat নেই, এবং বিবাদীপক্ষ পরবর্তীতে সেই ব্যক্তির নামে tenancy সৃষ্টি হওয়ার কোনো নির্ভরযোগ্য foundational document দেখাতে পারেন না, তখন পরবর্তী State Acquisition পর্যায়ে সরকারি record-এ কার নাম রায়ত হিসেবে স্বীকৃত হয়েছে—সেটি title history নির্ণয়ের জন্য অত্যন্ত গুরুত্বপূর্ণ evidence।</w:t>
      </w:r>
    </w:p>
    <w:p>
      <w:r>
        <w:rPr>
          <w:rFonts w:ascii="Kalpurush" w:cs="Kalpurush" w:eastAsia="Kalpurush" w:hAnsi="Kalpurush"/>
        </w:rPr>
        <w:t xml:space="preserve"/>
      </w:r>
    </w:p>
    <w:p>
      <w:r>
        <w:rPr>
          <w:rFonts w:ascii="Kalpurush" w:cs="Kalpurush" w:eastAsia="Kalpurush" w:hAnsi="Kalpurush"/>
          <w:sz w:val="20"/>
          <w:szCs w:val="20"/>
        </w:rPr>
        <w:t xml:space="preserve">অর্থাৎ—</w:t>
      </w:r>
    </w:p>
    <w:p>
      <w:r>
        <w:rPr>
          <w:rFonts w:ascii="Kalpurush" w:cs="Kalpurush" w:eastAsia="Kalpurush" w:hAnsi="Kalpurush"/>
        </w:rPr>
        <w:t xml:space="preserve"/>
      </w:r>
    </w:p>
    <w:p>
      <w:r>
        <w:rPr>
          <w:rFonts w:ascii="Kalpurush" w:cs="Kalpurush" w:eastAsia="Kalpurush" w:hAnsi="Kalpurush"/>
          <w:sz w:val="20"/>
          <w:szCs w:val="20"/>
        </w:rPr>
        <w:t xml:space="preserve">CS → State Acquisition → SA Record</w:t>
      </w:r>
    </w:p>
    <w:p>
      <w:r>
        <w:rPr>
          <w:rFonts w:ascii="Kalpurush" w:cs="Kalpurush" w:eastAsia="Kalpurush" w:hAnsi="Kalpurush"/>
        </w:rPr>
        <w:t xml:space="preserve"/>
      </w:r>
    </w:p>
    <w:p>
      <w:r>
        <w:rPr>
          <w:rFonts w:ascii="Kalpurush" w:cs="Kalpurush" w:eastAsia="Kalpurush" w:hAnsi="Kalpurush"/>
          <w:sz w:val="20"/>
          <w:szCs w:val="20"/>
        </w:rPr>
        <w:t xml:space="preserve">এই historical sequence আদালতের সামনে বিচ্ছিন্নভাবে নয়, ধারাবাহিকভাবে দেখতে হবে।</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 যদি ১৯৩৪ সালের পত্তন সত্যিই হয়ে থাকে, তবে সেই পত্তনের সরকারি trace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বিবাদীপক্ষের মূল বক্তব্যের ভিত্তি ১৯৩৪ সালের কথিত পত্তন।</w:t>
      </w:r>
    </w:p>
    <w:p>
      <w:r>
        <w:rPr>
          <w:rFonts w:ascii="Kalpurush" w:cs="Kalpurush" w:eastAsia="Kalpurush" w:hAnsi="Kalpurush"/>
        </w:rPr>
        <w:t xml:space="preserve"/>
      </w:r>
    </w:p>
    <w:p>
      <w:r>
        <w:rPr>
          <w:rFonts w:ascii="Kalpurush" w:cs="Kalpurush" w:eastAsia="Kalpurush" w:hAnsi="Kalpurush"/>
          <w:sz w:val="20"/>
          <w:szCs w:val="20"/>
        </w:rPr>
        <w:t xml:space="preserve">কিন্তু আদালতের সামনে প্রশ্নটি হওয়া উচিত:</w:t>
      </w:r>
    </w:p>
    <w:p>
      <w:r>
        <w:rPr>
          <w:rFonts w:ascii="Kalpurush" w:cs="Kalpurush" w:eastAsia="Kalpurush" w:hAnsi="Kalpurush"/>
        </w:rPr>
        <w:t xml:space="preserve"/>
      </w:r>
    </w:p>
    <w:p>
      <w:r>
        <w:rPr>
          <w:rFonts w:ascii="Kalpurush" w:cs="Kalpurush" w:eastAsia="Kalpurush" w:hAnsi="Kalpurush"/>
          <w:sz w:val="20"/>
          <w:szCs w:val="20"/>
        </w:rPr>
        <w:t xml:space="preserve">একটি কথিত বৈধ tenancy-এর documentary footprint কোথায়?</w:t>
      </w:r>
    </w:p>
    <w:p>
      <w:r>
        <w:rPr>
          <w:rFonts w:ascii="Kalpurush" w:cs="Kalpurush" w:eastAsia="Kalpurush" w:hAnsi="Kalpurush"/>
        </w:rPr>
        <w:t xml:space="preserve"/>
      </w:r>
    </w:p>
    <w:p>
      <w:r>
        <w:rPr>
          <w:rFonts w:ascii="Kalpurush" w:cs="Kalpurush" w:eastAsia="Kalpurush" w:hAnsi="Kalpurush"/>
          <w:sz w:val="20"/>
          <w:szCs w:val="20"/>
        </w:rPr>
        <w:t xml:space="preserve">যেমন—</w:t>
      </w:r>
    </w:p>
    <w:p>
      <w:pPr>
        <w:pStyle w:val="ListParagraph"/>
        <w:numPr>
          <w:ilvl w:val="0"/>
          <w:numId w:val="1"/>
        </w:numPr>
      </w:pPr>
      <w:r>
        <w:rPr>
          <w:rFonts w:ascii="Kalpurush" w:cs="Kalpurush" w:eastAsia="Kalpurush" w:hAnsi="Kalpurush"/>
          <w:sz w:val="20"/>
          <w:szCs w:val="20"/>
        </w:rPr>
        <w:t xml:space="preserve">  পাট্টা;</w:t>
      </w:r>
    </w:p>
    <w:p>
      <w:pPr>
        <w:pStyle w:val="ListParagraph"/>
        <w:numPr>
          <w:ilvl w:val="0"/>
          <w:numId w:val="1"/>
        </w:numPr>
      </w:pPr>
      <w:r>
        <w:rPr>
          <w:rFonts w:ascii="Kalpurush" w:cs="Kalpurush" w:eastAsia="Kalpurush" w:hAnsi="Kalpurush"/>
          <w:sz w:val="20"/>
          <w:szCs w:val="20"/>
        </w:rPr>
        <w:t xml:space="preserve">  কবুলিয়ত;</w:t>
      </w:r>
    </w:p>
    <w:p>
      <w:pPr>
        <w:pStyle w:val="ListParagraph"/>
        <w:numPr>
          <w:ilvl w:val="0"/>
          <w:numId w:val="1"/>
        </w:numPr>
      </w:pPr>
      <w:r>
        <w:rPr>
          <w:rFonts w:ascii="Kalpurush" w:cs="Kalpurush" w:eastAsia="Kalpurush" w:hAnsi="Kalpurush"/>
          <w:sz w:val="20"/>
          <w:szCs w:val="20"/>
        </w:rPr>
        <w:t xml:space="preserve">  অনুমোদিত settlement document;</w:t>
      </w:r>
    </w:p>
    <w:p>
      <w:pPr>
        <w:pStyle w:val="ListParagraph"/>
        <w:numPr>
          <w:ilvl w:val="0"/>
          <w:numId w:val="1"/>
        </w:numPr>
      </w:pPr>
      <w:r>
        <w:rPr>
          <w:rFonts w:ascii="Kalpurush" w:cs="Kalpurush" w:eastAsia="Kalpurush" w:hAnsi="Kalpurush"/>
          <w:sz w:val="20"/>
          <w:szCs w:val="20"/>
        </w:rPr>
        <w:t xml:space="preserve">  সংশ্লিষ্ট estate record;</w:t>
      </w:r>
    </w:p>
    <w:p>
      <w:pPr>
        <w:pStyle w:val="ListParagraph"/>
        <w:numPr>
          <w:ilvl w:val="0"/>
          <w:numId w:val="1"/>
        </w:numPr>
      </w:pPr>
      <w:r>
        <w:rPr>
          <w:rFonts w:ascii="Kalpurush" w:cs="Kalpurush" w:eastAsia="Kalpurush" w:hAnsi="Kalpurush"/>
          <w:sz w:val="20"/>
          <w:szCs w:val="20"/>
        </w:rPr>
        <w:t xml:space="preserve">  পরবর্তী সরকারি record-এ তার ধারাবাহিক প্রতিফলন;</w:t>
      </w:r>
    </w:p>
    <w:p>
      <w:pPr>
        <w:pStyle w:val="ListParagraph"/>
        <w:numPr>
          <w:ilvl w:val="0"/>
          <w:numId w:val="1"/>
        </w:numPr>
      </w:pPr>
      <w:r>
        <w:rPr>
          <w:rFonts w:ascii="Kalpurush" w:cs="Kalpurush" w:eastAsia="Kalpurush" w:hAnsi="Kalpurush"/>
          <w:sz w:val="20"/>
          <w:szCs w:val="20"/>
        </w:rPr>
        <w:t xml:space="preserve">  অথবা এমন কোনো নির্ভরযোগ্য primary evidence, যাহা দ্বারা tenancy প্রতিষ্ঠিত হয়।</w:t>
      </w:r>
    </w:p>
    <w:p>
      <w:r>
        <w:rPr>
          <w:rFonts w:ascii="Kalpurush" w:cs="Kalpurush" w:eastAsia="Kalpurush" w:hAnsi="Kalpurush"/>
        </w:rPr>
        <w:t xml:space="preserve"/>
      </w:r>
    </w:p>
    <w:p>
      <w:r>
        <w:rPr>
          <w:rFonts w:ascii="Kalpurush" w:cs="Kalpurush" w:eastAsia="Kalpurush" w:hAnsi="Kalpurush"/>
          <w:sz w:val="20"/>
          <w:szCs w:val="20"/>
        </w:rPr>
        <w:t xml:space="preserve">আমাদের বক্তব্য সম্পূর্ণ ভিন্ন: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বিবাদীপক্ষ যে tenancy-কে তাদের title-এর foundation বলছে, সেই tenancy-র foundational documentary evidence আদালতে কোথায়?</w:t>
      </w:r>
    </w:p>
    <w:p>
      <w:r>
        <w:rPr>
          <w:rFonts w:ascii="Kalpurush" w:cs="Kalpurush" w:eastAsia="Kalpurush" w:hAnsi="Kalpurush"/>
        </w:rPr>
        <w:t xml:space="preserve"/>
      </w:r>
    </w:p>
    <w:p>
      <w:r>
        <w:rPr>
          <w:rFonts w:ascii="Kalpurush" w:cs="Kalpurush" w:eastAsia="Kalpurush" w:hAnsi="Kalpurush"/>
          <w:sz w:val="20"/>
          <w:szCs w:val="20"/>
        </w:rPr>
        <w:t xml:space="preserve">এবং এই প্রশ্নটির উত্তর না দিয়ে SA record-কে ভুল বলা হলে reasoning-এর burden উল্টো হয়ে যায়।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 SA ২৩৮ নং খতিয়ান—একটি isolated document নয়, State Acquisition-এর ফল</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 আব্দুল আলীর নাম এককভাবে রেকর্ডভুক্ত হওয়া এই মামলার একটি গুরুত্বপূর্ণ documentary circumstance।</w:t>
      </w:r>
    </w:p>
    <w:p>
      <w:r>
        <w:rPr>
          <w:rFonts w:ascii="Kalpurush" w:cs="Kalpurush" w:eastAsia="Kalpurush" w:hAnsi="Kalpurush"/>
        </w:rPr>
        <w:t xml:space="preserve"/>
      </w:r>
    </w:p>
    <w:p>
      <w:r>
        <w:rPr>
          <w:rFonts w:ascii="Kalpurush" w:cs="Kalpurush" w:eastAsia="Kalpurush" w:hAnsi="Kalpurush"/>
          <w:sz w:val="20"/>
          <w:szCs w:val="20"/>
        </w:rPr>
        <w:t xml:space="preserve">বিশেষত—</w:t>
      </w:r>
    </w:p>
    <w:p>
      <w:r>
        <w:rPr>
          <w:rFonts w:ascii="Kalpurush" w:cs="Kalpurush" w:eastAsia="Kalpurush" w:hAnsi="Kalpurush"/>
        </w:rPr>
        <w:t xml:space="preserve"/>
      </w:r>
    </w:p>
    <w:p>
      <w:r>
        <w:rPr>
          <w:rFonts w:ascii="Kalpurush" w:cs="Kalpurush" w:eastAsia="Kalpurush" w:hAnsi="Kalpurush"/>
          <w:sz w:val="20"/>
          <w:szCs w:val="20"/>
        </w:rPr>
        <w:t xml:space="preserve">1.  পূর্ববর্তী CS record-এ ব্যক্তিগত raiyat হিসেবে আব্দুল করিমের নাম নেই;</w:t>
      </w:r>
    </w:p>
    <w:p>
      <w:r>
        <w:rPr>
          <w:rFonts w:ascii="Kalpurush" w:cs="Kalpurush" w:eastAsia="Kalpurush" w:hAnsi="Kalpurush"/>
          <w:sz w:val="20"/>
          <w:szCs w:val="20"/>
        </w:rPr>
        <w:t xml:space="preserve">2.  বিবাদীপক্ষ কথিত pre-SA tenancy-এর শক্তিশালী foundational document দেখাতে পারেনি;</w:t>
      </w:r>
    </w:p>
    <w:p>
      <w:r>
        <w:rPr>
          <w:rFonts w:ascii="Kalpurush" w:cs="Kalpurush" w:eastAsia="Kalpurush" w:hAnsi="Kalpurush"/>
          <w:sz w:val="20"/>
          <w:szCs w:val="20"/>
        </w:rPr>
        <w:t xml:space="preserve">3.  State Acquisition পরবর্তী SA record-এ আব্দুল আলীর নাম এসেছে;</w:t>
      </w:r>
    </w:p>
    <w:p>
      <w:r>
        <w:rPr>
          <w:rFonts w:ascii="Kalpurush" w:cs="Kalpurush" w:eastAsia="Kalpurush" w:hAnsi="Kalpurush"/>
          <w:sz w:val="20"/>
          <w:szCs w:val="20"/>
        </w:rPr>
        <w:t xml:space="preserve">4.  সেই SA record দীর্ঘদিন জেলা রেকর্ড রুমে অপরিবর্তিত রয়েছে;</w:t>
      </w:r>
    </w:p>
    <w:p>
      <w:r>
        <w:rPr>
          <w:rFonts w:ascii="Kalpurush" w:cs="Kalpurush" w:eastAsia="Kalpurush" w:hAnsi="Kalpurush"/>
          <w:sz w:val="20"/>
          <w:szCs w:val="20"/>
        </w:rPr>
        <w:t xml:space="preserve">5.  পরবর্তী registered transaction-ও আব্দুল আলীর নামের সঙ্গে সামঞ্জস্যপূর্ণ।</w:t>
      </w:r>
    </w:p>
    <w:p>
      <w:r>
        <w:rPr>
          <w:rFonts w:ascii="Kalpurush" w:cs="Kalpurush" w:eastAsia="Kalpurush" w:hAnsi="Kalpurush"/>
        </w:rPr>
        <w:t xml:space="preserve"/>
      </w:r>
    </w:p>
    <w:p>
      <w:r>
        <w:rPr>
          <w:rFonts w:ascii="Kalpurush" w:cs="Kalpurush" w:eastAsia="Kalpurush" w:hAnsi="Kalpurush"/>
          <w:sz w:val="20"/>
          <w:szCs w:val="20"/>
        </w:rPr>
        <w:t xml:space="preserve">সুতরাং SA record-কে শুধু “একটি খতিয়ান” হিসেবে দেখলে মামলার evidentiary chain-এর গুরুত্বপূর্ণ অংশ বাদ পড়ে যায়।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 SA record-এর presumption ভাঙার দায় কার?</w:t>
      </w:r>
    </w:p>
    <w:p>
      <w:r>
        <w:rPr>
          <w:rFonts w:ascii="Kalpurush" w:cs="Kalpurush" w:eastAsia="Kalpurush" w:hAnsi="Kalpurush"/>
        </w:rPr>
        <w:t xml:space="preserve"/>
      </w:r>
    </w:p>
    <w:p>
      <w:r>
        <w:rPr>
          <w:rFonts w:ascii="Kalpurush" w:cs="Kalpurush" w:eastAsia="Kalpurush" w:hAnsi="Kalpurush"/>
          <w:sz w:val="20"/>
          <w:szCs w:val="20"/>
        </w:rPr>
        <w:t xml:space="preserve">এই জায়গাটিই আপিলের কেন্দ্রীয় legal issue।</w:t>
      </w:r>
    </w:p>
    <w:p>
      <w:r>
        <w:rPr>
          <w:rFonts w:ascii="Kalpurush" w:cs="Kalpurush" w:eastAsia="Kalpurush" w:hAnsi="Kalpurush"/>
        </w:rPr>
        <w:t xml:space="preserve"/>
      </w:r>
    </w:p>
    <w:p>
      <w:r>
        <w:rPr>
          <w:rFonts w:ascii="Kalpurush" w:cs="Kalpurush" w:eastAsia="Kalpurush" w:hAnsi="Kalpurush"/>
          <w:sz w:val="20"/>
          <w:szCs w:val="20"/>
        </w:rPr>
        <w:t xml:space="preserve">চূড়ান্ত প্রকাশিত record of rights-এর statutory presumption থাকিলে, সেটি challenge করা পক্ষকে প্রথমে দেখাতে হবে—</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কেন record ভুল?</w:t>
      </w:r>
    </w:p>
    <w:p>
      <w:r>
        <w:rPr>
          <w:rFonts w:ascii="Kalpurush" w:cs="Kalpurush" w:eastAsia="Kalpurush" w:hAnsi="Kalpurush"/>
        </w:rPr>
        <w:t xml:space="preserve"/>
      </w:r>
    </w:p>
    <w:p>
      <w:r>
        <w:rPr>
          <w:rFonts w:ascii="Kalpurush" w:cs="Kalpurush" w:eastAsia="Kalpurush" w:hAnsi="Kalpurush"/>
          <w:sz w:val="20"/>
          <w:szCs w:val="20"/>
        </w:rPr>
        <w:t xml:space="preserve">আর যদি বলা হয়—</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“১৯৬৯ সালের একটি proceeding-এর মাধ্যমে record পরিবর্তিত হয়েছিল”,</w:t>
      </w:r>
    </w:p>
    <w:p>
      <w:r>
        <w:rPr>
          <w:rFonts w:ascii="Kalpurush" w:cs="Kalpurush" w:eastAsia="Kalpurush" w:hAnsi="Kalpurush"/>
        </w:rPr>
        <w:t xml:space="preserve"/>
      </w:r>
    </w:p>
    <w:p>
      <w:r>
        <w:rPr>
          <w:rFonts w:ascii="Kalpurush" w:cs="Kalpurush" w:eastAsia="Kalpurush" w:hAnsi="Kalpurush"/>
          <w:sz w:val="20"/>
          <w:szCs w:val="20"/>
        </w:rPr>
        <w:t xml:space="preserve">তাহলে দ্বিতীয় প্রশ্ন: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সেই proceeding-এর মূল সরকারি নথি কোথায়?</w:t>
      </w:r>
    </w:p>
    <w:p>
      <w:r>
        <w:rPr>
          <w:rFonts w:ascii="Kalpurush" w:cs="Kalpurush" w:eastAsia="Kalpurush" w:hAnsi="Kalpurush"/>
        </w:rPr>
        <w:t xml:space="preserve"/>
      </w:r>
    </w:p>
    <w:p>
      <w:r>
        <w:rPr>
          <w:rFonts w:ascii="Kalpurush" w:cs="Kalpurush" w:eastAsia="Kalpurush" w:hAnsi="Kalpurush"/>
          <w:sz w:val="20"/>
          <w:szCs w:val="20"/>
        </w:rPr>
        <w:t xml:space="preserve">অর্থাৎ বিবাদীপক্ষকে দুটি independent proposition establish করতে হয়:</w:t>
      </w:r>
    </w:p>
    <w:p>
      <w:r>
        <w:rPr>
          <w:rFonts w:ascii="Kalpurush" w:cs="Kalpurush" w:eastAsia="Kalpurush" w:hAnsi="Kalpurush"/>
        </w:rPr>
        <w:t xml:space="preserve"/>
      </w:r>
    </w:p>
    <w:p>
      <w:r>
        <w:rPr>
          <w:rFonts w:ascii="Kalpurush" w:cs="Kalpurush" w:eastAsia="Kalpurush" w:hAnsi="Kalpurush"/>
          <w:sz w:val="20"/>
          <w:szCs w:val="20"/>
        </w:rPr>
        <w:t xml:space="preserve">প্রথমত: SA record কেন ভুল ছিল।</w:t>
      </w:r>
    </w:p>
    <w:p>
      <w:r>
        <w:rPr>
          <w:rFonts w:ascii="Kalpurush" w:cs="Kalpurush" w:eastAsia="Kalpurush" w:hAnsi="Kalpurush"/>
          <w:sz w:val="20"/>
          <w:szCs w:val="20"/>
        </w:rPr>
        <w:t xml:space="preserve">দ্বিতীয়ত: কোন বৈধ proceeding-এর মাধ্যমে সেই ভুল সংশোধিত হয়েছিল।</w:t>
      </w:r>
    </w:p>
    <w:p>
      <w:r>
        <w:rPr>
          <w:rFonts w:ascii="Kalpurush" w:cs="Kalpurush" w:eastAsia="Kalpurush" w:hAnsi="Kalpurush"/>
        </w:rPr>
        <w:t xml:space="preserve"/>
      </w:r>
    </w:p>
    <w:p>
      <w:r>
        <w:rPr>
          <w:rFonts w:ascii="Kalpurush" w:cs="Kalpurush" w:eastAsia="Kalpurush" w:hAnsi="Kalpurush"/>
          <w:sz w:val="20"/>
          <w:szCs w:val="20"/>
        </w:rPr>
        <w:t xml:space="preserve">শুধু একটি পরবর্তী volume entry দেখিয়ে প্রথম প্রশ্নের উত্তর দেওয়া যায় না; আর foundational proceeding না দেখিয়ে দ্বিতীয় প্রশ্নের উত্তর দেওয়াও সম্ভব নয়।</w:t>
      </w:r>
    </w:p>
    <w:p>
      <w:r>
        <w:rPr>
          <w:rFonts w:ascii="Kalpurush" w:cs="Kalpurush" w:eastAsia="Kalpurush" w:hAnsi="Kalpurush"/>
        </w:rPr>
        <w:t xml:space="preserve"/>
      </w:r>
    </w:p>
    <w:p>
      <w:r>
        <w:rPr>
          <w:rFonts w:ascii="Kalpurush" w:cs="Kalpurush" w:eastAsia="Kalpurush" w:hAnsi="Kalpurush"/>
          <w:sz w:val="20"/>
          <w:szCs w:val="20"/>
        </w:rPr>
        <w:t xml:space="preserve">এই burden-এর প্রশ্নে </w:t>
      </w:r>
      <w:r>
        <w:rPr>
          <w:rFonts w:ascii="Kalpurush" w:cs="Kalpurush" w:eastAsia="Kalpurush" w:hAnsi="Kalpurush"/>
          <w:b/>
          <w:bCs/>
          <w:sz w:val="20"/>
          <w:szCs w:val="20"/>
        </w:rPr>
        <w:t xml:space="preserve">45 DLR (AD) 124 (Nuruddin Ahmed vs. Md. Jaman)</w:t>
      </w:r>
      <w:r>
        <w:rPr>
          <w:rFonts w:ascii="Kalpurush" w:cs="Kalpurush" w:eastAsia="Kalpurush" w:hAnsi="Kalpurush"/>
          <w:sz w:val="20"/>
          <w:szCs w:val="20"/>
        </w:rPr>
        <w:t xml:space="preserve">-এর সিদ্ধান্ত ব্যবহার করা আবশ্যক, যাহা প্রমাণ করে যে record-of-rights-এর presumption খণ্ডনের প্রাথমিক দায়ভার যাহার উপরে, তাহাকে cogent evidence উপস্থাপন করিতে হয়।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[45 DLR (AD) 124]:</w:t>
      </w:r>
      <w:r>
        <w:rPr>
          <w:rFonts w:ascii="Kalpurush" w:cs="Kalpurush" w:eastAsia="Kalpurush" w:hAnsi="Kalpurush"/>
          <w:i/>
          <w:iCs/>
          <w:sz w:val="20"/>
          <w:szCs w:val="20"/>
        </w:rPr>
        <w:t xml:space="preserve"> *"A trial court sometimes confuses 'plaintiff must prove' with 'plaintiff must disprove every counter-assertion'."*</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 ১৯৬৯ সালের Misc Case 1181—এখানেই বিবাদীপক্ষের সবচেয়ে বড় evidentiary gap</w:t>
      </w:r>
    </w:p>
    <w:p>
      <w:r>
        <w:rPr>
          <w:rFonts w:ascii="Kalpurush" w:cs="Kalpurush" w:eastAsia="Kalpurush" w:hAnsi="Kalpurush"/>
        </w:rPr>
        <w:t xml:space="preserve"/>
      </w:r>
    </w:p>
    <w:p>
      <w:r>
        <w:rPr>
          <w:rFonts w:ascii="Kalpurush" w:cs="Kalpurush" w:eastAsia="Kalpurush" w:hAnsi="Kalpurush"/>
          <w:sz w:val="20"/>
          <w:szCs w:val="20"/>
        </w:rPr>
        <w:t xml:space="preserve">বিবাদীপক্ষের পুরো correction theory-এর ভিত্তি হলো কথিত Misc Case No. 1181 of 1969।</w:t>
      </w:r>
    </w:p>
    <w:p>
      <w:r>
        <w:rPr>
          <w:rFonts w:ascii="Kalpurush" w:cs="Kalpurush" w:eastAsia="Kalpurush" w:hAnsi="Kalpurush"/>
        </w:rPr>
        <w:t xml:space="preserve"/>
      </w:r>
    </w:p>
    <w:p>
      <w:r>
        <w:rPr>
          <w:rFonts w:ascii="Kalpurush" w:cs="Kalpurush" w:eastAsia="Kalpurush" w:hAnsi="Kalpurush"/>
          <w:sz w:val="20"/>
          <w:szCs w:val="20"/>
        </w:rPr>
        <w:t xml:space="preserve">কিন্তু সেই proceeding-এর—</w:t>
      </w:r>
    </w:p>
    <w:p>
      <w:pPr>
        <w:pStyle w:val="ListParagraph"/>
        <w:numPr>
          <w:ilvl w:val="0"/>
          <w:numId w:val="1"/>
        </w:numPr>
      </w:pPr>
      <w:r>
        <w:rPr>
          <w:rFonts w:ascii="Kalpurush" w:cs="Kalpurush" w:eastAsia="Kalpurush" w:hAnsi="Kalpurush"/>
          <w:sz w:val="20"/>
          <w:szCs w:val="20"/>
        </w:rPr>
        <w:t xml:space="preserve">  application/plaint;</w:t>
      </w:r>
    </w:p>
    <w:p>
      <w:pPr>
        <w:pStyle w:val="ListParagraph"/>
        <w:numPr>
          <w:ilvl w:val="0"/>
          <w:numId w:val="1"/>
        </w:numPr>
      </w:pPr>
      <w:r>
        <w:rPr>
          <w:rFonts w:ascii="Kalpurush" w:cs="Kalpurush" w:eastAsia="Kalpurush" w:hAnsi="Kalpurush"/>
          <w:sz w:val="20"/>
          <w:szCs w:val="20"/>
        </w:rPr>
        <w:t xml:space="preserve">  order sheet;</w:t>
      </w:r>
    </w:p>
    <w:p>
      <w:pPr>
        <w:pStyle w:val="ListParagraph"/>
        <w:numPr>
          <w:ilvl w:val="0"/>
          <w:numId w:val="1"/>
        </w:numPr>
      </w:pPr>
      <w:r>
        <w:rPr>
          <w:rFonts w:ascii="Kalpurush" w:cs="Kalpurush" w:eastAsia="Kalpurush" w:hAnsi="Kalpurush"/>
          <w:sz w:val="20"/>
          <w:szCs w:val="20"/>
        </w:rPr>
        <w:t xml:space="preserve">  judgment;</w:t>
      </w:r>
    </w:p>
    <w:p>
      <w:pPr>
        <w:pStyle w:val="ListParagraph"/>
        <w:numPr>
          <w:ilvl w:val="0"/>
          <w:numId w:val="1"/>
        </w:numPr>
      </w:pPr>
      <w:r>
        <w:rPr>
          <w:rFonts w:ascii="Kalpurush" w:cs="Kalpurush" w:eastAsia="Kalpurush" w:hAnsi="Kalpurush"/>
          <w:sz w:val="20"/>
          <w:szCs w:val="20"/>
        </w:rPr>
        <w:t xml:space="preserve">  certified copy;</w:t>
      </w:r>
    </w:p>
    <w:p>
      <w:pPr>
        <w:pStyle w:val="ListParagraph"/>
        <w:numPr>
          <w:ilvl w:val="0"/>
          <w:numId w:val="1"/>
        </w:numPr>
      </w:pPr>
      <w:r>
        <w:rPr>
          <w:rFonts w:ascii="Kalpurush" w:cs="Kalpurush" w:eastAsia="Kalpurush" w:hAnsi="Kalpurush"/>
          <w:sz w:val="20"/>
          <w:szCs w:val="20"/>
        </w:rPr>
        <w:t xml:space="preserve">  সংশ্লিষ্ট proceeding file;</w:t>
      </w:r>
    </w:p>
    <w:p>
      <w:pPr>
        <w:pStyle w:val="ListParagraph"/>
        <w:numPr>
          <w:ilvl w:val="0"/>
          <w:numId w:val="1"/>
        </w:numPr>
      </w:pPr>
      <w:r>
        <w:rPr>
          <w:rFonts w:ascii="Kalpurush" w:cs="Kalpurush" w:eastAsia="Kalpurush" w:hAnsi="Kalpurush"/>
          <w:sz w:val="20"/>
          <w:szCs w:val="20"/>
        </w:rPr>
        <w:t xml:space="preserve">  parties-এর বক্তব্য;</w:t>
      </w:r>
    </w:p>
    <w:p>
      <w:pPr>
        <w:pStyle w:val="ListParagraph"/>
        <w:numPr>
          <w:ilvl w:val="0"/>
          <w:numId w:val="1"/>
        </w:numPr>
      </w:pPr>
      <w:r>
        <w:rPr>
          <w:rFonts w:ascii="Kalpurush" w:cs="Kalpurush" w:eastAsia="Kalpurush" w:hAnsi="Kalpurush"/>
          <w:sz w:val="20"/>
          <w:szCs w:val="20"/>
        </w:rPr>
        <w:t xml:space="preserve">  notice/service;</w:t>
      </w:r>
    </w:p>
    <w:p>
      <w:pPr>
        <w:pStyle w:val="ListParagraph"/>
        <w:numPr>
          <w:ilvl w:val="0"/>
          <w:numId w:val="1"/>
        </w:numPr>
      </w:pPr>
      <w:r>
        <w:rPr>
          <w:rFonts w:ascii="Kalpurush" w:cs="Kalpurush" w:eastAsia="Kalpurush" w:hAnsi="Kalpurush"/>
          <w:sz w:val="20"/>
          <w:szCs w:val="20"/>
        </w:rPr>
        <w:t xml:space="preserve">  অথবা final order—</w:t>
      </w:r>
    </w:p>
    <w:p>
      <w:r>
        <w:rPr>
          <w:rFonts w:ascii="Kalpurush" w:cs="Kalpurush" w:eastAsia="Kalpurush" w:hAnsi="Kalpurush"/>
        </w:rPr>
        <w:t xml:space="preserve"/>
      </w:r>
    </w:p>
    <w:p>
      <w:r>
        <w:rPr>
          <w:rFonts w:ascii="Kalpurush" w:cs="Kalpurush" w:eastAsia="Kalpurush" w:hAnsi="Kalpurush"/>
          <w:sz w:val="20"/>
          <w:szCs w:val="20"/>
        </w:rPr>
        <w:t xml:space="preserve">আদালতে যথাযথভাবে উপস্থাপিত হয়েছে কি না—সেটিই decisive প্রশ্ন।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Respondents rely upon the alleged proceeding as the juridical source of a substantive change; therefore the Court should be able to identify and evaluate the proceeding, its terms, competence and legal effect.</w:t>
      </w:r>
    </w:p>
    <w:p>
      <w:r>
        <w:rPr>
          <w:rFonts w:ascii="Kalpurush" w:cs="Kalpurush" w:eastAsia="Kalpurush" w:hAnsi="Kalpurush"/>
        </w:rPr>
        <w:t xml:space="preserve"/>
      </w:r>
    </w:p>
    <w:p>
      <w:r>
        <w:rPr>
          <w:rFonts w:ascii="Kalpurush" w:cs="Kalpurush" w:eastAsia="Kalpurush" w:hAnsi="Kalpurush"/>
          <w:sz w:val="20"/>
          <w:szCs w:val="20"/>
        </w:rPr>
        <w:t xml:space="preserve">একটি consequential revenue entry-এর অস্তিত্ব, তাহার underlying legal source এবং implementation নির্ভরযোগ্যভাবে প্রতিষ্ঠিত না হইলে, এককভাবে একটি final SA record-এর বিরুদ্ধে substantive displacement প্রতিষ্ঠার জন্য যথেষ্ট নাও হইতে পারে।</w:t>
      </w:r>
    </w:p>
    <w:p>
      <w:r>
        <w:rPr>
          <w:rFonts w:ascii="Kalpurush" w:cs="Kalpurush" w:eastAsia="Kalpurush" w:hAnsi="Kalpurush"/>
        </w:rPr>
        <w:t xml:space="preserve"/>
      </w:r>
    </w:p>
    <w:p>
      <w:r>
        <w:rPr>
          <w:rFonts w:ascii="Kalpurush" w:cs="Kalpurush" w:eastAsia="Kalpurush" w:hAnsi="Kalpurush"/>
          <w:sz w:val="20"/>
          <w:szCs w:val="20"/>
        </w:rPr>
        <w:t xml:space="preserve">বরং যুক্তির স্বাভাবিক ধারাটি হওয়া উচিত:</w:t>
      </w:r>
    </w:p>
    <w:p>
      <w:r>
        <w:rPr>
          <w:rFonts w:ascii="Kalpurush" w:cs="Kalpurush" w:eastAsia="Kalpurush" w:hAnsi="Kalpurush"/>
        </w:rPr>
        <w:t xml:space="preserve"/>
      </w:r>
    </w:p>
    <w:p>
      <w:r>
        <w:rPr>
          <w:rFonts w:ascii="Kalpurush" w:cs="Kalpurush" w:eastAsia="Kalpurush" w:hAnsi="Kalpurush"/>
          <w:sz w:val="20"/>
          <w:szCs w:val="20"/>
        </w:rPr>
        <w:t xml:space="preserve">Parent proceeding → valid order → lawful implementation → corrected record.</w:t>
      </w:r>
    </w:p>
    <w:p>
      <w:r>
        <w:rPr>
          <w:rFonts w:ascii="Kalpurush" w:cs="Kalpurush" w:eastAsia="Kalpurush" w:hAnsi="Kalpurush"/>
        </w:rPr>
        <w:t xml:space="preserve"/>
      </w:r>
    </w:p>
    <w:p>
      <w:r>
        <w:rPr>
          <w:rFonts w:ascii="Kalpurush" w:cs="Kalpurush" w:eastAsia="Kalpurush" w:hAnsi="Kalpurush"/>
          <w:sz w:val="20"/>
          <w:szCs w:val="20"/>
        </w:rPr>
        <w:t xml:space="preserve">কিন্তু এখানে যদি থাকে কেবল—</w:t>
      </w:r>
    </w:p>
    <w:p>
      <w:r>
        <w:rPr>
          <w:rFonts w:ascii="Kalpurush" w:cs="Kalpurush" w:eastAsia="Kalpurush" w:hAnsi="Kalpurush"/>
        </w:rPr>
        <w:t xml:space="preserve"/>
      </w:r>
    </w:p>
    <w:p>
      <w:r>
        <w:rPr>
          <w:rFonts w:ascii="Kalpurush" w:cs="Kalpurush" w:eastAsia="Kalpurush" w:hAnsi="Kalpurush"/>
          <w:sz w:val="20"/>
          <w:szCs w:val="20"/>
        </w:rPr>
        <w:t xml:space="preserve">Volume entry</w:t>
      </w:r>
    </w:p>
    <w:p>
      <w:r>
        <w:rPr>
          <w:rFonts w:ascii="Kalpurush" w:cs="Kalpurush" w:eastAsia="Kalpurush" w:hAnsi="Kalpurush"/>
        </w:rPr>
        <w:t xml:space="preserve"/>
      </w:r>
    </w:p>
    <w:p>
      <w:r>
        <w:rPr>
          <w:rFonts w:ascii="Kalpurush" w:cs="Kalpurush" w:eastAsia="Kalpurush" w:hAnsi="Kalpurush"/>
          <w:sz w:val="20"/>
          <w:szCs w:val="20"/>
        </w:rPr>
        <w:t xml:space="preserve">এবং parent proceeding-এর primary record অনুপস্থিত থাকে, তবে court-এর সামনে consequential entry-এর legal foundation পরীক্ষা করার সুযোগই থাকে পরিচয়।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৭. “Misc Case-এ order হয়েছিল”—এই বক্তব্য আর “title আইনগতভাবে adjudicate হয়েছিল”—এক কথা নয়</w:t>
      </w:r>
    </w:p>
    <w:p>
      <w:r>
        <w:rPr>
          <w:rFonts w:ascii="Kalpurush" w:cs="Kalpurush" w:eastAsia="Kalpurush" w:hAnsi="Kalpurush"/>
        </w:rPr>
        <w:t xml:space="preserve"/>
      </w:r>
    </w:p>
    <w:p>
      <w:r>
        <w:rPr>
          <w:rFonts w:ascii="Kalpurush" w:cs="Kalpurush" w:eastAsia="Kalpurush" w:hAnsi="Kalpurush"/>
          <w:sz w:val="20"/>
          <w:szCs w:val="20"/>
        </w:rPr>
        <w:t xml:space="preserve">এখানে একটি subtle কিন্তু গুরুত্বপূর্ণ distinction আছে।</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কোনো Misc Case-এর existence প্রমাণও করত, তবুও আদালতকে আলাদাভাবে দেখতে হতো:</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উক্ত proceeding-এর nature কী ছিল এবং সেই proceeding-এ title adjudication করার jurisdiction ছিল কি না?</w:t>
      </w:r>
    </w:p>
    <w:p>
      <w:r>
        <w:rPr>
          <w:rFonts w:ascii="Kalpurush" w:cs="Kalpurush" w:eastAsia="Kalpurush" w:hAnsi="Kalpurush"/>
        </w:rPr>
        <w:t xml:space="preserve"/>
      </w:r>
    </w:p>
    <w:p>
      <w:r>
        <w:rPr>
          <w:rFonts w:ascii="Kalpurush" w:cs="Kalpurush" w:eastAsia="Kalpurush" w:hAnsi="Kalpurush"/>
          <w:sz w:val="20"/>
          <w:szCs w:val="20"/>
        </w:rPr>
        <w:t xml:space="preserve">কারণ কোনো proceeding-এর নাম “Misc Case” হলেই সেটি স্বয়ংক্রিয়ভাবে title adjudication-এর proceeding হয়ে যায় না।</w:t>
      </w:r>
    </w:p>
    <w:p>
      <w:r>
        <w:rPr>
          <w:rFonts w:ascii="Kalpurush" w:cs="Kalpurush" w:eastAsia="Kalpurush" w:hAnsi="Kalpurush"/>
        </w:rPr>
        <w:t xml:space="preserve"/>
      </w:r>
    </w:p>
    <w:p>
      <w:r>
        <w:rPr>
          <w:rFonts w:ascii="Kalpurush" w:cs="Kalpurush" w:eastAsia="Kalpurush" w:hAnsi="Kalpurush"/>
          <w:sz w:val="20"/>
          <w:szCs w:val="20"/>
        </w:rPr>
        <w:t xml:space="preserve">আর যদি উক্ত proceeding-এ একজন recorded raiyat-এর vested interest পরিবর্তন করে নতুন ব্যক্তিকে tenancy/title-এর অংশীদার করা হয়ে থাকে, তাহলে সেই পরিবর্তনের jurisdictional এবং procedural foundation প্রমাণ করা আবশ্যক।</w:t>
      </w:r>
    </w:p>
    <w:p>
      <w:r>
        <w:rPr>
          <w:rFonts w:ascii="Kalpurush" w:cs="Kalpurush" w:eastAsia="Kalpurush" w:hAnsi="Kalpurush"/>
        </w:rPr>
        <w:t xml:space="preserve"/>
      </w:r>
    </w:p>
    <w:p>
      <w:r>
        <w:rPr>
          <w:rFonts w:ascii="Kalpurush" w:cs="Kalpurush" w:eastAsia="Kalpurush" w:hAnsi="Kalpurush"/>
          <w:sz w:val="20"/>
          <w:szCs w:val="20"/>
        </w:rPr>
        <w:t xml:space="preserve">এই প্রশ্নে </w:t>
      </w:r>
      <w:r>
        <w:rPr>
          <w:rFonts w:ascii="Kalpurush" w:cs="Kalpurush" w:eastAsia="Kalpurush" w:hAnsi="Kalpurush"/>
          <w:b/>
          <w:bCs/>
          <w:sz w:val="20"/>
          <w:szCs w:val="20"/>
        </w:rPr>
        <w:t xml:space="preserve">27 BLD 544</w:t>
      </w:r>
      <w:r>
        <w:rPr>
          <w:rFonts w:ascii="Kalpurush" w:cs="Kalpurush" w:eastAsia="Kalpurush" w:hAnsi="Kalpurush"/>
          <w:sz w:val="20"/>
          <w:szCs w:val="20"/>
        </w:rPr>
        <w:t xml:space="preserve">-এর সিদ্ধান্ত প্রণিধানযোগ্য, যেখানে বলা হইয়াছে যে administrative revenue officer-এর title adjudication-এর jurisdiction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544] (Principle):</w:t>
      </w:r>
      <w:r>
        <w:rPr>
          <w:rFonts w:ascii="Kalpurush" w:cs="Kalpurush" w:eastAsia="Kalpurush" w:hAnsi="Kalpurush"/>
          <w:i/>
          <w:iCs/>
          <w:sz w:val="20"/>
          <w:szCs w:val="20"/>
        </w:rPr>
        <w:t xml:space="preserve"> Revenue officer has no jurisdiction to adjudicate substantive title.</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৮. সবচেয়ে গুরুত্বপূর্ণ: alleged correction সামান্য clerical correction নয়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যদি কোনো volume-এ—</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একটি নামের বানান ভুল সংশোধন করা হতো,</w:t>
      </w:r>
    </w:p>
    <w:p>
      <w:r>
        <w:rPr>
          <w:rFonts w:ascii="Kalpurush" w:cs="Kalpurush" w:eastAsia="Kalpurush" w:hAnsi="Kalpurush"/>
        </w:rPr>
        <w:t xml:space="preserve"/>
      </w:r>
    </w:p>
    <w:p>
      <w:r>
        <w:rPr>
          <w:rFonts w:ascii="Kalpurush" w:cs="Kalpurush" w:eastAsia="Kalpurush" w:hAnsi="Kalpurush"/>
          <w:sz w:val="20"/>
          <w:szCs w:val="20"/>
        </w:rPr>
        <w:t xml:space="preserve">তাহলে সেটি clerical correction-এর প্রশ্ন হতে পারত।</w:t>
      </w:r>
    </w:p>
    <w:p>
      <w:r>
        <w:rPr>
          <w:rFonts w:ascii="Kalpurush" w:cs="Kalpurush" w:eastAsia="Kalpurush" w:hAnsi="Kalpurush"/>
        </w:rPr>
        <w:t xml:space="preserve"/>
      </w:r>
    </w:p>
    <w:p>
      <w:r>
        <w:rPr>
          <w:rFonts w:ascii="Kalpurush" w:cs="Kalpurush" w:eastAsia="Kalpurush" w:hAnsi="Kalpurush"/>
          <w:sz w:val="20"/>
          <w:szCs w:val="20"/>
        </w:rPr>
        <w:t xml:space="preserve">কিন্তু এখানে alleged correction-এর effect যদি হয়—</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একজন recorded raiyat-এর পরিবর্তে/সঙ্গে অন্য ব্যক্তিকে tenancy interest-এর অংশীদার হিসেবে যুক্ত করা,</w:t>
      </w:r>
    </w:p>
    <w:p>
      <w:r>
        <w:rPr>
          <w:rFonts w:ascii="Kalpurush" w:cs="Kalpurush" w:eastAsia="Kalpurush" w:hAnsi="Kalpurush"/>
        </w:rPr>
        <w:t xml:space="preserve"/>
      </w:r>
    </w:p>
    <w:p>
      <w:r>
        <w:rPr>
          <w:rFonts w:ascii="Kalpurush" w:cs="Kalpurush" w:eastAsia="Kalpurush" w:hAnsi="Kalpurush"/>
          <w:sz w:val="20"/>
          <w:szCs w:val="20"/>
        </w:rPr>
        <w:t xml:space="preserve">তাহলে এটি নিছক clerical correction নয়।</w:t>
      </w:r>
    </w:p>
    <w:p>
      <w:r>
        <w:rPr>
          <w:rFonts w:ascii="Kalpurush" w:cs="Kalpurush" w:eastAsia="Kalpurush" w:hAnsi="Kalpurush"/>
        </w:rPr>
        <w:t xml:space="preserve"/>
      </w:r>
    </w:p>
    <w:p>
      <w:r>
        <w:rPr>
          <w:rFonts w:ascii="Kalpurush" w:cs="Kalpurush" w:eastAsia="Kalpurush" w:hAnsi="Kalpurush"/>
          <w:sz w:val="20"/>
          <w:szCs w:val="20"/>
        </w:rPr>
        <w:t xml:space="preserve">এটি substantive interest-এর প্রশ্ন।</w:t>
      </w:r>
    </w:p>
    <w:p>
      <w:r>
        <w:rPr>
          <w:rFonts w:ascii="Kalpurush" w:cs="Kalpurush" w:eastAsia="Kalpurush" w:hAnsi="Kalpurush"/>
        </w:rPr>
        <w:t xml:space="preserve"/>
      </w:r>
    </w:p>
    <w:p>
      <w:r>
        <w:rPr>
          <w:rFonts w:ascii="Kalpurush" w:cs="Kalpurush" w:eastAsia="Kalpurush" w:hAnsi="Kalpurush"/>
          <w:sz w:val="20"/>
          <w:szCs w:val="20"/>
        </w:rPr>
        <w:t xml:space="preserve">সুতরাং আদালতের সামনে প্রশ্ন হওয়া উচিত:</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একজন revenue officer-এর একটি volume note কি substantive title/tenancy interest সৃষ্টি বা পরিবর্তনের আইনগত source হতে পারে?</w:t>
      </w:r>
    </w:p>
    <w:p>
      <w:r>
        <w:rPr>
          <w:rFonts w:ascii="Kalpurush" w:cs="Kalpurush" w:eastAsia="Kalpurush" w:hAnsi="Kalpurush"/>
        </w:rPr>
        <w:t xml:space="preserve"/>
      </w:r>
    </w:p>
    <w:p>
      <w:r>
        <w:rPr>
          <w:rFonts w:ascii="Kalpurush" w:cs="Kalpurush" w:eastAsia="Kalpurush" w:hAnsi="Kalpurush"/>
          <w:sz w:val="20"/>
          <w:szCs w:val="20"/>
        </w:rPr>
        <w:t xml:space="preserve">এই point-টি </w:t>
      </w:r>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29 BLC 160</w:t>
      </w:r>
      <w:r>
        <w:rPr>
          <w:rFonts w:ascii="Kalpurush" w:cs="Kalpurush" w:eastAsia="Kalpurush" w:hAnsi="Kalpurush"/>
          <w:sz w:val="20"/>
          <w:szCs w:val="20"/>
        </w:rPr>
        <w:t xml:space="preserve">-এর সহিত ধারাবাহিকভাবে উপস্থাপন করা যায়, যেখানে স্পষ্ট করা হইয়াছে যে mutation/correction-এর মাধ্যমে substantive title সৃষ্ট বা খর্ব হয়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[53 DLR 19] (Principle):</w:t>
      </w:r>
      <w:r>
        <w:rPr>
          <w:rFonts w:ascii="Kalpurush" w:cs="Kalpurush" w:eastAsia="Kalpurush" w:hAnsi="Kalpurush"/>
          <w:i/>
          <w:iCs/>
          <w:sz w:val="20"/>
          <w:szCs w:val="20"/>
        </w:rPr>
        <w:t xml:space="preserve"> Mutation alone does not confer, nor does its cancellation extinguish, substantive title.</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[29 BLC 160] (Principle):</w:t>
      </w:r>
      <w:r>
        <w:rPr>
          <w:rFonts w:ascii="Kalpurush" w:cs="Kalpurush" w:eastAsia="Kalpurush" w:hAnsi="Kalpurush"/>
          <w:i/>
          <w:iCs/>
          <w:sz w:val="20"/>
          <w:szCs w:val="20"/>
        </w:rPr>
        <w:t xml:space="preserve"> Correction of record of rights does not independently create title.</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৯. AC Land volume এবং District Record Room—দুইটি document-কে সমান ওজন দেওয়া যায় না</w:t>
      </w:r>
    </w:p>
    <w:p>
      <w:r>
        <w:rPr>
          <w:rFonts w:ascii="Kalpurush" w:cs="Kalpurush" w:eastAsia="Kalpurush" w:hAnsi="Kalpurush"/>
        </w:rPr>
        <w:t xml:space="preserve"/>
      </w:r>
    </w:p>
    <w:p>
      <w:r>
        <w:rPr>
          <w:rFonts w:ascii="Kalpurush" w:cs="Kalpurush" w:eastAsia="Kalpurush" w:hAnsi="Kalpurush"/>
          <w:sz w:val="20"/>
          <w:szCs w:val="20"/>
        </w:rPr>
        <w:t xml:space="preserve">এখানে একটি সম্ভাব্য factual misunderstanding পরিষ্কার করা অত্যন্ত জরুরি।</w:t>
      </w:r>
    </w:p>
    <w:p>
      <w:r>
        <w:rPr>
          <w:rFonts w:ascii="Kalpurush" w:cs="Kalpurush" w:eastAsia="Kalpurush" w:hAnsi="Kalpurush"/>
        </w:rPr>
        <w:t xml:space="preserve"/>
      </w:r>
    </w:p>
    <w:p>
      <w:r>
        <w:rPr>
          <w:rFonts w:ascii="Kalpurush" w:cs="Kalpurush" w:eastAsia="Kalpurush" w:hAnsi="Kalpurush"/>
          <w:sz w:val="20"/>
          <w:szCs w:val="20"/>
        </w:rPr>
        <w:t xml:space="preserve">AC Land-এর volume এবং District Record Room-এর preserved settlement record-এর custodial context ভিন্ন।</w:t>
      </w:r>
    </w:p>
    <w:p>
      <w:r>
        <w:rPr>
          <w:rFonts w:ascii="Kalpurush" w:cs="Kalpurush" w:eastAsia="Kalpurush" w:hAnsi="Kalpurush"/>
        </w:rPr>
        <w:t xml:space="preserve"/>
      </w:r>
    </w:p>
    <w:p>
      <w:r>
        <w:rPr>
          <w:rFonts w:ascii="Kalpurush" w:cs="Kalpurush" w:eastAsia="Kalpurush" w:hAnsi="Kalpurush"/>
          <w:sz w:val="20"/>
          <w:szCs w:val="20"/>
        </w:rPr>
        <w:t xml:space="preserve">আপীল্যান্টদের বক্তব্য:</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The two documents emanate from different custodial and administrative contexts. Their evidentiary weight must therefore be assessed by reference to provenance, source, authority and the process by which the disputed entry came into existence.</w:t>
      </w:r>
    </w:p>
    <w:p>
      <w:r>
        <w:rPr>
          <w:rFonts w:ascii="Kalpurush" w:cs="Kalpurush" w:eastAsia="Kalpurush" w:hAnsi="Kalpurush"/>
        </w:rPr>
        <w:t xml:space="preserve"/>
      </w:r>
    </w:p>
    <w:p>
      <w:r>
        <w:rPr>
          <w:rFonts w:ascii="Kalpurush" w:cs="Kalpurush" w:eastAsia="Kalpurush" w:hAnsi="Kalpurush"/>
          <w:sz w:val="20"/>
          <w:szCs w:val="20"/>
        </w:rPr>
        <w:t xml:space="preserve">কারণ:</w:t>
      </w:r>
    </w:p>
    <w:p>
      <w:pPr>
        <w:pStyle w:val="ListParagraph"/>
        <w:numPr>
          <w:ilvl w:val="0"/>
          <w:numId w:val="1"/>
        </w:numPr>
      </w:pPr>
      <w:r>
        <w:rPr>
          <w:rFonts w:ascii="Kalpurush" w:cs="Kalpurush" w:eastAsia="Kalpurush" w:hAnsi="Kalpurush"/>
          <w:sz w:val="20"/>
          <w:szCs w:val="20"/>
        </w:rPr>
        <w:t xml:space="preserve">  কোন office-এর custody-তে document?</w:t>
      </w:r>
    </w:p>
    <w:p>
      <w:pPr>
        <w:pStyle w:val="ListParagraph"/>
        <w:numPr>
          <w:ilvl w:val="0"/>
          <w:numId w:val="1"/>
        </w:numPr>
      </w:pPr>
      <w:r>
        <w:rPr>
          <w:rFonts w:ascii="Kalpurush" w:cs="Kalpurush" w:eastAsia="Kalpurush" w:hAnsi="Kalpurush"/>
          <w:sz w:val="20"/>
          <w:szCs w:val="20"/>
        </w:rPr>
        <w:t xml:space="preserve">  সেটি original না working copy?</w:t>
      </w:r>
    </w:p>
    <w:p>
      <w:pPr>
        <w:pStyle w:val="ListParagraph"/>
        <w:numPr>
          <w:ilvl w:val="0"/>
          <w:numId w:val="1"/>
        </w:numPr>
      </w:pPr>
      <w:r>
        <w:rPr>
          <w:rFonts w:ascii="Kalpurush" w:cs="Kalpurush" w:eastAsia="Kalpurush" w:hAnsi="Kalpurush"/>
          <w:sz w:val="20"/>
          <w:szCs w:val="20"/>
        </w:rPr>
        <w:t xml:space="preserve">  entry কখন করা হয়েছে?</w:t>
      </w:r>
    </w:p>
    <w:p>
      <w:pPr>
        <w:pStyle w:val="ListParagraph"/>
        <w:numPr>
          <w:ilvl w:val="0"/>
          <w:numId w:val="1"/>
        </w:numPr>
      </w:pPr>
      <w:r>
        <w:rPr>
          <w:rFonts w:ascii="Kalpurush" w:cs="Kalpurush" w:eastAsia="Kalpurush" w:hAnsi="Kalpurush"/>
          <w:sz w:val="20"/>
          <w:szCs w:val="20"/>
        </w:rPr>
        <w:t xml:space="preserve">  কে করেছেন?</w:t>
      </w:r>
    </w:p>
    <w:p>
      <w:pPr>
        <w:pStyle w:val="ListParagraph"/>
        <w:numPr>
          <w:ilvl w:val="0"/>
          <w:numId w:val="1"/>
        </w:numPr>
      </w:pPr>
      <w:r>
        <w:rPr>
          <w:rFonts w:ascii="Kalpurush" w:cs="Kalpurush" w:eastAsia="Kalpurush" w:hAnsi="Kalpurush"/>
          <w:sz w:val="20"/>
          <w:szCs w:val="20"/>
        </w:rPr>
        <w:t xml:space="preserve">  কোন proceeding-এর ভিত্তিতে করেছেন?</w:t>
      </w:r>
    </w:p>
    <w:p>
      <w:pPr>
        <w:pStyle w:val="ListParagraph"/>
        <w:numPr>
          <w:ilvl w:val="0"/>
          <w:numId w:val="1"/>
        </w:numPr>
      </w:pPr>
      <w:r>
        <w:rPr>
          <w:rFonts w:ascii="Kalpurush" w:cs="Kalpurush" w:eastAsia="Kalpurush" w:hAnsi="Kalpurush"/>
          <w:sz w:val="20"/>
          <w:szCs w:val="20"/>
        </w:rPr>
        <w:t xml:space="preserve">  parent file কোথায়?</w:t>
      </w:r>
    </w:p>
    <w:p>
      <w:pPr>
        <w:pStyle w:val="ListParagraph"/>
        <w:numPr>
          <w:ilvl w:val="0"/>
          <w:numId w:val="1"/>
        </w:numPr>
      </w:pPr>
      <w:r>
        <w:rPr>
          <w:rFonts w:ascii="Kalpurush" w:cs="Kalpurush" w:eastAsia="Kalpurush" w:hAnsi="Kalpurush"/>
          <w:sz w:val="20"/>
          <w:szCs w:val="20"/>
        </w:rPr>
        <w:t xml:space="preserve">  alteration-এর supporting order কোথায়?</w:t>
      </w:r>
    </w:p>
    <w:p>
      <w:r>
        <w:rPr>
          <w:rFonts w:ascii="Kalpurush" w:cs="Kalpurush" w:eastAsia="Kalpurush" w:hAnsi="Kalpurush"/>
        </w:rPr>
        <w:t xml:space="preserve"/>
      </w:r>
    </w:p>
    <w:p>
      <w:r>
        <w:rPr>
          <w:rFonts w:ascii="Kalpurush" w:cs="Kalpurush" w:eastAsia="Kalpurush" w:hAnsi="Kalpurush"/>
          <w:sz w:val="20"/>
          <w:szCs w:val="20"/>
        </w:rPr>
        <w:t xml:space="preserve">— এই প্রশ্নগুলোর উত্তর ছাড়া শুধু volume-এ একটি entry থাকা যথেষ্ট নয়।</w:t>
      </w:r>
    </w:p>
    <w:p>
      <w:r>
        <w:rPr>
          <w:rFonts w:ascii="Kalpurush" w:cs="Kalpurush" w:eastAsia="Kalpurush" w:hAnsi="Kalpurush"/>
        </w:rPr>
        <w:t xml:space="preserve"/>
      </w:r>
    </w:p>
    <w:p>
      <w:r>
        <w:rPr>
          <w:rFonts w:ascii="Kalpurush" w:cs="Kalpurush" w:eastAsia="Kalpurush" w:hAnsi="Kalpurush"/>
          <w:sz w:val="20"/>
          <w:szCs w:val="20"/>
        </w:rPr>
        <w:t xml:space="preserve">বিশেষ করে DW-4 যদি entry-এর handwriting/ink/কারণ/parent file শনাক্ত বা ব্যাখ্যা করতে না পারেন, তাহলে entry-এর evidentiary weight স্বাভাবিকভাবেই প্রশ্নের মুখে পড়ে। এখানে </w:t>
      </w:r>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সরাসরি 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[53 DLR 19] (Principle):</w:t>
      </w:r>
      <w:r>
        <w:rPr>
          <w:rFonts w:ascii="Kalpurush" w:cs="Kalpurush" w:eastAsia="Kalpurush" w:hAnsi="Kalpurush"/>
          <w:i/>
          <w:iCs/>
          <w:sz w:val="20"/>
          <w:szCs w:val="20"/>
        </w:rPr>
        <w:t xml:space="preserve"> An order of mutation without legal basis cannot create title.</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 “বেলুয়া” প্রসঙ্গটি অত্যন্ত গুরুত্বপূর্ণ corroborative contradiction</w:t>
      </w:r>
    </w:p>
    <w:p>
      <w:r>
        <w:rPr>
          <w:rFonts w:ascii="Kalpurush" w:cs="Kalpurush" w:eastAsia="Kalpurush" w:hAnsi="Kalpurush"/>
        </w:rPr>
        <w:t xml:space="preserve"/>
      </w:r>
    </w:p>
    <w:p>
      <w:r>
        <w:rPr>
          <w:rFonts w:ascii="Kalpurush" w:cs="Kalpurush" w:eastAsia="Kalpurush" w:hAnsi="Kalpurush"/>
          <w:sz w:val="20"/>
          <w:szCs w:val="20"/>
        </w:rPr>
        <w:t xml:space="preserve">এটি আলাদা করে জোর দেওয়া উচিত।</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 theory অনুযায়ী যদি—</w:t>
      </w:r>
    </w:p>
    <w:p>
      <w:r>
        <w:rPr>
          <w:rFonts w:ascii="Kalpurush" w:cs="Kalpurush" w:eastAsia="Kalpurush" w:hAnsi="Kalpurush"/>
        </w:rPr>
        <w:t xml:space="preserve"/>
      </w:r>
    </w:p>
    <w:p>
      <w:r>
        <w:rPr>
          <w:rFonts w:ascii="Kalpurush" w:cs="Kalpurush" w:eastAsia="Kalpurush" w:hAnsi="Kalpurush"/>
          <w:sz w:val="20"/>
          <w:szCs w:val="20"/>
        </w:rPr>
        <w:t xml:space="preserve">আব্দুল করিম → তাঁর উত্তরাধিকারীগণ → সোনাভানু/বেলুয়া প্রমুখ → বিবাদীদের title</w:t>
      </w:r>
    </w:p>
    <w:p>
      <w:r>
        <w:rPr>
          <w:rFonts w:ascii="Kalpurush" w:cs="Kalpurush" w:eastAsia="Kalpurush" w:hAnsi="Kalpurush"/>
        </w:rPr>
        <w:t xml:space="preserve"/>
      </w:r>
    </w:p>
    <w:p>
      <w:r>
        <w:rPr>
          <w:rFonts w:ascii="Kalpurush" w:cs="Kalpurush" w:eastAsia="Kalpurush" w:hAnsi="Kalpurush"/>
          <w:sz w:val="20"/>
          <w:szCs w:val="20"/>
        </w:rPr>
        <w:t xml:space="preserve">হয়ে থাকে,</w:t>
      </w:r>
    </w:p>
    <w:p>
      <w:r>
        <w:rPr>
          <w:rFonts w:ascii="Kalpurush" w:cs="Kalpurush" w:eastAsia="Kalpurush" w:hAnsi="Kalpurush"/>
        </w:rPr>
        <w:t xml:space="preserve"/>
      </w:r>
    </w:p>
    <w:p>
      <w:r>
        <w:rPr>
          <w:rFonts w:ascii="Kalpurush" w:cs="Kalpurush" w:eastAsia="Kalpurush" w:hAnsi="Kalpurush"/>
          <w:sz w:val="20"/>
          <w:szCs w:val="20"/>
        </w:rPr>
        <w:t xml:space="preserve">তাহলে প্রশ্ন: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যে বেলুয়ার কাছ থেকে বিবাদীপক্ষ দলিল গ্রহণ করেছে, সেই বেলুয়ার কথিত উত্তরাধিকারসূত্রের ভিত্তি কোথায়?</w:t>
      </w:r>
    </w:p>
    <w:p>
      <w:r>
        <w:rPr>
          <w:rFonts w:ascii="Kalpurush" w:cs="Kalpurush" w:eastAsia="Kalpurush" w:hAnsi="Kalpurush"/>
        </w:rPr>
        <w:t xml:space="preserve"/>
      </w:r>
    </w:p>
    <w:p>
      <w:r>
        <w:rPr>
          <w:rFonts w:ascii="Kalpurush" w:cs="Kalpurush" w:eastAsia="Kalpurush" w:hAnsi="Kalpurush"/>
          <w:sz w:val="20"/>
          <w:szCs w:val="20"/>
        </w:rPr>
        <w:t xml:space="preserve">আরও গুরুত্বপূর্ণ:</w:t>
      </w:r>
    </w:p>
    <w:p>
      <w:r>
        <w:rPr>
          <w:rFonts w:ascii="Kalpurush" w:cs="Kalpurush" w:eastAsia="Kalpurush" w:hAnsi="Kalpurush"/>
        </w:rPr>
        <w:t xml:space="preserve"/>
      </w:r>
    </w:p>
    <w:p>
      <w:r>
        <w:rPr>
          <w:rFonts w:ascii="Kalpurush" w:cs="Kalpurush" w:eastAsia="Kalpurush" w:hAnsi="Kalpurush"/>
          <w:sz w:val="20"/>
          <w:szCs w:val="20"/>
        </w:rPr>
        <w:t xml:space="preserve">যদি বেলুয়া একই alleged correction-এর মাধ্যমে স্বত্বপ্রাপ্ত উত্তরাধিকারী হন, তবে সেই correction record-এ তাঁর অবস্থান কোথায়?</w:t>
      </w:r>
    </w:p>
    <w:p>
      <w:r>
        <w:rPr>
          <w:rFonts w:ascii="Kalpurush" w:cs="Kalpurush" w:eastAsia="Kalpurush" w:hAnsi="Kalpurush"/>
        </w:rPr>
        <w:t xml:space="preserve"/>
      </w:r>
    </w:p>
    <w:p>
      <w:r>
        <w:rPr>
          <w:rFonts w:ascii="Kalpurush" w:cs="Kalpurush" w:eastAsia="Kalpurush" w:hAnsi="Kalpurush"/>
          <w:sz w:val="20"/>
          <w:szCs w:val="20"/>
        </w:rPr>
        <w:t xml:space="preserve">যদি—</w:t>
      </w:r>
    </w:p>
    <w:p>
      <w:pPr>
        <w:pStyle w:val="ListParagraph"/>
        <w:numPr>
          <w:ilvl w:val="0"/>
          <w:numId w:val="1"/>
        </w:numPr>
      </w:pPr>
      <w:r>
        <w:rPr>
          <w:rFonts w:ascii="Kalpurush" w:cs="Kalpurush" w:eastAsia="Kalpurush" w:hAnsi="Kalpurush"/>
          <w:sz w:val="20"/>
          <w:szCs w:val="20"/>
        </w:rPr>
        <w:t xml:space="preserve">  সোনাভানুর নাম আছে,</w:t>
      </w:r>
    </w:p>
    <w:p>
      <w:pPr>
        <w:pStyle w:val="ListParagraph"/>
        <w:numPr>
          <w:ilvl w:val="0"/>
          <w:numId w:val="1"/>
        </w:numPr>
      </w:pPr>
      <w:r>
        <w:rPr>
          <w:rFonts w:ascii="Kalpurush" w:cs="Kalpurush" w:eastAsia="Kalpurush" w:hAnsi="Kalpurush"/>
          <w:sz w:val="20"/>
          <w:szCs w:val="20"/>
        </w:rPr>
        <w:t xml:space="preserve">  কিন্তু বেলুয়ার নাম নেই,</w:t>
      </w:r>
    </w:p>
    <w:p>
      <w:pPr>
        <w:pStyle w:val="ListParagraph"/>
        <w:numPr>
          <w:ilvl w:val="0"/>
          <w:numId w:val="1"/>
        </w:numPr>
      </w:pPr>
      <w:r>
        <w:rPr>
          <w:rFonts w:ascii="Kalpurush" w:cs="Kalpurush" w:eastAsia="Kalpurush" w:hAnsi="Kalpurush"/>
          <w:sz w:val="20"/>
          <w:szCs w:val="20"/>
        </w:rPr>
        <w:t xml:space="preserve">  অথচ পরবর্তী দলিলে বেলুয়া transferor,</w:t>
      </w:r>
    </w:p>
    <w:p>
      <w:pPr>
        <w:pStyle w:val="ListParagraph"/>
        <w:numPr>
          <w:ilvl w:val="0"/>
          <w:numId w:val="1"/>
        </w:numPr>
      </w:pPr>
      <w:r>
        <w:rPr>
          <w:rFonts w:ascii="Kalpurush" w:cs="Kalpurush" w:eastAsia="Kalpurush" w:hAnsi="Kalpurush"/>
          <w:sz w:val="20"/>
          <w:szCs w:val="20"/>
        </w:rPr>
        <w:t xml:space="preserve">  এবং বিবাদীপক্ষ আবার বেলুয়ার title-এর উপর নির্ভর করে,</w:t>
      </w:r>
    </w:p>
    <w:p>
      <w:r>
        <w:rPr>
          <w:rFonts w:ascii="Kalpurush" w:cs="Kalpurush" w:eastAsia="Kalpurush" w:hAnsi="Kalpurush"/>
        </w:rPr>
        <w:t xml:space="preserve"/>
      </w:r>
    </w:p>
    <w:p>
      <w:r>
        <w:rPr>
          <w:rFonts w:ascii="Kalpurush" w:cs="Kalpurush" w:eastAsia="Kalpurush" w:hAnsi="Kalpurush"/>
          <w:sz w:val="20"/>
          <w:szCs w:val="20"/>
        </w:rPr>
        <w:t xml:space="preserve">তাহলে একটি গুরুত্বপূর্ণ evidentiary contradiction তৈরি হয়।</w:t>
      </w:r>
    </w:p>
    <w:p>
      <w:r>
        <w:rPr>
          <w:rFonts w:ascii="Kalpurush" w:cs="Kalpurush" w:eastAsia="Kalpurush" w:hAnsi="Kalpurush"/>
        </w:rPr>
        <w:t xml:space="preserve"/>
      </w:r>
    </w:p>
    <w:p>
      <w:r>
        <w:rPr>
          <w:rFonts w:ascii="Kalpurush" w:cs="Kalpurush" w:eastAsia="Kalpurush" w:hAnsi="Kalpurush"/>
          <w:sz w:val="20"/>
          <w:szCs w:val="20"/>
        </w:rPr>
        <w:t xml:space="preserve">এখানে আদালতের কাছে আমাদের প্রশ্নটি “বেলুয়া অবশ্যই মালিক ছিলেন না” নয়।</w:t>
      </w:r>
    </w:p>
    <w:p>
      <w:r>
        <w:rPr>
          <w:rFonts w:ascii="Kalpurush" w:cs="Kalpurush" w:eastAsia="Kalpurush" w:hAnsi="Kalpurush"/>
        </w:rPr>
        <w:t xml:space="preserve"/>
      </w:r>
    </w:p>
    <w:p>
      <w:r>
        <w:rPr>
          <w:rFonts w:ascii="Kalpurush" w:cs="Kalpurush" w:eastAsia="Kalpurush" w:hAnsi="Kalpurush"/>
          <w:sz w:val="20"/>
          <w:szCs w:val="20"/>
        </w:rPr>
        <w:t xml:space="preserve">বরং:</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বিবাদীপক্ষের নিজের title theory-র সঙ্গে বেলুয়ার documentary status কীভাবে সামঞ্জস্যপূর্ণ—তাহা তাঁহারাই ব্যাখ্যা করবেন।</w:t>
      </w:r>
    </w:p>
    <w:p>
      <w:r>
        <w:rPr>
          <w:rFonts w:ascii="Kalpurush" w:cs="Kalpurush" w:eastAsia="Kalpurush" w:hAnsi="Kalpurush"/>
        </w:rPr>
        <w:t xml:space="preserve"/>
      </w:r>
    </w:p>
    <w:p>
      <w:r>
        <w:rPr>
          <w:rFonts w:ascii="Kalpurush" w:cs="Kalpurush" w:eastAsia="Kalpurush" w:hAnsi="Kalpurush"/>
          <w:sz w:val="20"/>
          <w:szCs w:val="20"/>
        </w:rPr>
        <w:t xml:space="preserve">এটি burden-shifting-এর একটি শক্তিশালী factual point।</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Comparative Documentary Test এবং Inheritance (সোনাভানু আব্দুল করিমের উত্তরাধিকারী কি না—এটি একমাত্র প্রশ্ন নয়)</w:t>
      </w:r>
    </w:p>
    <w:p>
      <w:r>
        <w:rPr>
          <w:rFonts w:ascii="Kalpurush" w:cs="Kalpurush" w:eastAsia="Kalpurush" w:hAnsi="Kalpurush"/>
        </w:rPr>
        <w:t xml:space="preserve"/>
      </w:r>
    </w:p>
    <w:p>
      <w:r>
        <w:rPr>
          <w:rFonts w:ascii="Kalpurush" w:cs="Kalpurush" w:eastAsia="Kalpurush" w:hAnsi="Kalpurush"/>
          <w:sz w:val="20"/>
          <w:szCs w:val="20"/>
        </w:rPr>
        <w:t xml:space="preserve">বিবাদীপক্ষের succession theory যদি আব্দুল করিমের উত্তরাধিকারসূত্রের উপর দাঁড়ায়, তাহলে একটি গুরুত্বপূর্ণ factual distinction স্পষ্ট করা প্রয়োজন: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The question is not whether Sonabhanu was an heir of Abdul Karim. The question is whether this particular SA 238 holding was Abdul Karim’s holding.</w:t>
      </w:r>
    </w:p>
    <w:p>
      <w:r>
        <w:rPr>
          <w:rFonts w:ascii="Kalpurush" w:cs="Kalpurush" w:eastAsia="Kalpurush" w:hAnsi="Kalpurush"/>
        </w:rPr>
        <w:t xml:space="preserve"/>
      </w:r>
    </w:p>
    <w:p>
      <w:r>
        <w:rPr>
          <w:rFonts w:ascii="Kalpurush" w:cs="Kalpurush" w:eastAsia="Kalpurush" w:hAnsi="Kalpurush"/>
          <w:sz w:val="20"/>
          <w:szCs w:val="20"/>
        </w:rPr>
        <w:t xml:space="preserve">তর্কের খাতিরে যদি ধরা হয় যে Sonabhanu আব্দুল করিমের অন্যান্য সম্পত্তিতে বা অন্যান্য খতিয়ানে উত্তরাধিকারসূত্রে স্বত্ব অর্জন করিয়াছিলেন, তাহা SA 238-এর নির্দিষ্ট holding-এর উপর স্বয়ংক্রিয়ভাবে একই উত্তরাধিকার দাবি প্রতিষ্ঠা করে না। </w:t>
      </w:r>
    </w:p>
    <w:p>
      <w:r>
        <w:rPr>
          <w:rFonts w:ascii="Kalpurush" w:cs="Kalpurush" w:eastAsia="Kalpurush" w:hAnsi="Kalpurush"/>
        </w:rPr>
        <w:t xml:space="preserve"/>
      </w:r>
    </w:p>
    <w:p>
      <w:r>
        <w:rPr>
          <w:rFonts w:ascii="Kalpurush" w:cs="Kalpurush" w:eastAsia="Kalpurush" w:hAnsi="Kalpurush"/>
          <w:sz w:val="20"/>
          <w:szCs w:val="20"/>
        </w:rPr>
        <w:t xml:space="preserve">যদি Abdul Karim সত্যিই এই particular property-এর raiyat হন, তাহলে একই মৌজায় তাঁর উত্তরাধিকারীদের নামে অন্যান্য khatian-এ তাঁর interest-এর documentary reflection কীভাবে দেখা যায়? এবং বিপরীতভাবে: যদি Sonabhanu অন্য khatian-এ Abdul Karim-এর সম্পত্তি উত্তরাধিকারসূত্রে পেয়ে থাকেন, তাহলে SA 238-এ Abdul Ali-র একক record-এর বিরুদ্ধে তাঁকে আনয়নের documentary bridge কোথায়? </w:t>
      </w:r>
    </w:p>
    <w:p>
      <w:r>
        <w:rPr>
          <w:rFonts w:ascii="Kalpurush" w:cs="Kalpurush" w:eastAsia="Kalpurush" w:hAnsi="Kalpurush"/>
        </w:rPr>
        <w:t xml:space="preserve"/>
      </w:r>
    </w:p>
    <w:p>
      <w:r>
        <w:rPr>
          <w:rFonts w:ascii="Kalpurush" w:cs="Kalpurush" w:eastAsia="Kalpurush" w:hAnsi="Kalpurush"/>
          <w:sz w:val="20"/>
          <w:szCs w:val="20"/>
        </w:rPr>
        <w:t xml:space="preserve">এই comparative test কোনো inheritance right অস্বীকার করে না; বরং disputed parcel-এর identity নির্ধারণ করে। Genealogy alone cannot substitute for identification of the disputed holding.</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১৯৭৫ সালের ৩৫৯৬ নং দলিল—নিজেদের documentary case-এর বিরুদ্ধে একটি গুরুত্বপূর্ণ circumstance</w:t>
      </w:r>
    </w:p>
    <w:p>
      <w:r>
        <w:rPr>
          <w:rFonts w:ascii="Kalpurush" w:cs="Kalpurush" w:eastAsia="Kalpurush" w:hAnsi="Kalpurush"/>
        </w:rPr>
        <w:t xml:space="preserve"/>
      </w:r>
    </w:p>
    <w:p>
      <w:r>
        <w:rPr>
          <w:rFonts w:ascii="Kalpurush" w:cs="Kalpurush" w:eastAsia="Kalpurush" w:hAnsi="Kalpurush"/>
          <w:sz w:val="20"/>
          <w:szCs w:val="20"/>
        </w:rPr>
        <w:t xml:space="preserve">বিবাদীপক্ষের ১৯৭৫ সালের registered deed-টি বিশেষ গুরুত্ব বহন করে।</w:t>
      </w:r>
    </w:p>
    <w:p>
      <w:r>
        <w:rPr>
          <w:rFonts w:ascii="Kalpurush" w:cs="Kalpurush" w:eastAsia="Kalpurush" w:hAnsi="Kalpurush"/>
        </w:rPr>
        <w:t xml:space="preserve"/>
      </w:r>
    </w:p>
    <w:p>
      <w:r>
        <w:rPr>
          <w:rFonts w:ascii="Kalpurush" w:cs="Kalpurush" w:eastAsia="Kalpurush" w:hAnsi="Kalpurush"/>
          <w:sz w:val="20"/>
          <w:szCs w:val="20"/>
        </w:rPr>
        <w:t xml:space="preserve">কারণ বিবাদীপক্ষ একদিকে alleged 1969 correction-এর একটি নির্দিষ্ট ফলাফল দাবি করছে, অন্যদিকে তাদের নিজেদের 1975 সালের registered deed-এ SA 238-এর অধীনে একাধিক দাগের বর্ণনা রয়েছে।</w:t>
      </w:r>
    </w:p>
    <w:p>
      <w:r>
        <w:rPr>
          <w:rFonts w:ascii="Kalpurush" w:cs="Kalpurush" w:eastAsia="Kalpurush" w:hAnsi="Kalpurush"/>
        </w:rPr>
        <w:t xml:space="preserve"/>
      </w:r>
    </w:p>
    <w:p>
      <w:r>
        <w:rPr>
          <w:rFonts w:ascii="Kalpurush" w:cs="Kalpurush" w:eastAsia="Kalpurush" w:hAnsi="Kalpurush"/>
          <w:sz w:val="20"/>
          <w:szCs w:val="20"/>
        </w:rPr>
        <w:t xml:space="preserve">এখানে আপীল্যান্টদের প্রশ্ন খুব সরল:</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১৯৬৯ সালের alleged correction যদি সত্যিই SA 238-এর property description-কে এক দাগে সীমিত করে থাকে, তাহলে 1975 সালের নিজেদের registered deed-এ ছয়টি দাগের description-এর ভিত্তি কী?</w:t>
      </w:r>
    </w:p>
    <w:p>
      <w:r>
        <w:rPr>
          <w:rFonts w:ascii="Kalpurush" w:cs="Kalpurush" w:eastAsia="Kalpurush" w:hAnsi="Kalpurush"/>
        </w:rPr>
        <w:t xml:space="preserve"/>
      </w:r>
    </w:p>
    <w:p>
      <w:r>
        <w:rPr>
          <w:rFonts w:ascii="Kalpurush" w:cs="Kalpurush" w:eastAsia="Kalpurush" w:hAnsi="Kalpurush"/>
          <w:sz w:val="20"/>
          <w:szCs w:val="20"/>
        </w:rPr>
        <w:t xml:space="preserve">এই document-টি estoppel বা approbate/reprobate স্বয়ংক্রিয়ভাবে প্রমাণ না করলেও, it is a material documentary inconsistency requiring explanation.</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“Missing document” এখানে peripheral নয়—এটাই foundational document</w:t>
      </w:r>
    </w:p>
    <w:p>
      <w:r>
        <w:rPr>
          <w:rFonts w:ascii="Kalpurush" w:cs="Kalpurush" w:eastAsia="Kalpurush" w:hAnsi="Kalpurush"/>
        </w:rPr>
        <w:t xml:space="preserve"/>
      </w:r>
    </w:p>
    <w:p>
      <w:r>
        <w:rPr>
          <w:rFonts w:ascii="Kalpurush" w:cs="Kalpurush" w:eastAsia="Kalpurush" w:hAnsi="Kalpurush"/>
          <w:sz w:val="20"/>
          <w:szCs w:val="20"/>
        </w:rPr>
        <w:t xml:space="preserve">সাধারণত কোনো ancillary document না থাকলে আদালত অন্য evidence দিয়ে বিষয়টি বিচার করতে পারেন।</w:t>
      </w:r>
    </w:p>
    <w:p>
      <w:r>
        <w:rPr>
          <w:rFonts w:ascii="Kalpurush" w:cs="Kalpurush" w:eastAsia="Kalpurush" w:hAnsi="Kalpurush"/>
        </w:rPr>
        <w:t xml:space="preserve"/>
      </w:r>
    </w:p>
    <w:p>
      <w:r>
        <w:rPr>
          <w:rFonts w:ascii="Kalpurush" w:cs="Kalpurush" w:eastAsia="Kalpurush" w:hAnsi="Kalpurush"/>
          <w:sz w:val="20"/>
          <w:szCs w:val="20"/>
        </w:rPr>
        <w:t xml:space="preserve">কিন্তু এই মামলায় alleged Misc Case order-টি ancillary নয়।</w:t>
      </w:r>
    </w:p>
    <w:p>
      <w:r>
        <w:rPr>
          <w:rFonts w:ascii="Kalpurush" w:cs="Kalpurush" w:eastAsia="Kalpurush" w:hAnsi="Kalpurush"/>
        </w:rPr>
        <w:t xml:space="preserve"/>
      </w:r>
    </w:p>
    <w:p>
      <w:r>
        <w:rPr>
          <w:rFonts w:ascii="Kalpurush" w:cs="Kalpurush" w:eastAsia="Kalpurush" w:hAnsi="Kalpurush"/>
          <w:sz w:val="20"/>
          <w:szCs w:val="20"/>
        </w:rPr>
        <w:t xml:space="preserve">ওটাই correction-এর source।</w:t>
      </w:r>
    </w:p>
    <w:p>
      <w:r>
        <w:rPr>
          <w:rFonts w:ascii="Kalpurush" w:cs="Kalpurush" w:eastAsia="Kalpurush" w:hAnsi="Kalpurush"/>
        </w:rPr>
        <w:t xml:space="preserve"/>
      </w:r>
    </w:p>
    <w:p>
      <w:r>
        <w:rPr>
          <w:rFonts w:ascii="Kalpurush" w:cs="Kalpurush" w:eastAsia="Kalpurush" w:hAnsi="Kalpurush"/>
          <w:sz w:val="20"/>
          <w:szCs w:val="20"/>
        </w:rPr>
        <w:t xml:space="preserve">তাই যুক্তির কাঠামো:</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SA record → correction alleged → correction-এর source = Misc Case order → order produced নয় → correction-এর legal foundation unproved.</w:t>
      </w:r>
    </w:p>
    <w:p>
      <w:r>
        <w:rPr>
          <w:rFonts w:ascii="Kalpurush" w:cs="Kalpurush" w:eastAsia="Kalpurush" w:hAnsi="Kalpurush"/>
        </w:rPr>
        <w:t xml:space="preserve"/>
      </w:r>
    </w:p>
    <w:p>
      <w:r>
        <w:rPr>
          <w:rFonts w:ascii="Kalpurush" w:cs="Kalpurush" w:eastAsia="Kalpurush" w:hAnsi="Kalpurush"/>
          <w:sz w:val="20"/>
          <w:szCs w:val="20"/>
        </w:rPr>
        <w:t xml:space="preserve">এখানে </w:t>
      </w:r>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1 BLT 18</w:t>
      </w:r>
      <w:r>
        <w:rPr>
          <w:rFonts w:ascii="Kalpurush" w:cs="Kalpurush" w:eastAsia="Kalpurush" w:hAnsi="Kalpurush"/>
          <w:sz w:val="20"/>
          <w:szCs w:val="20"/>
        </w:rPr>
        <w:t xml:space="preserve">-এর propositions ব্যবহার করে volume entry-এর evidentiary weakness দেখানো যায়।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[1 BLT 18] (Principle):</w:t>
      </w:r>
      <w:r>
        <w:rPr>
          <w:rFonts w:ascii="Kalpurush" w:cs="Kalpurush" w:eastAsia="Kalpurush" w:hAnsi="Kalpurush"/>
          <w:i/>
          <w:iCs/>
          <w:sz w:val="20"/>
          <w:szCs w:val="20"/>
        </w:rPr>
        <w:t xml:space="preserve"> Where the foundational document is not produced, consequential entries carry limited evidentiary value for title.</w:t>
      </w:r>
    </w:p>
    <w:p>
      <w:r>
        <w:rPr>
          <w:rFonts w:ascii="Kalpurush" w:cs="Kalpurush" w:eastAsia="Kalpurush" w:hAnsi="Kalpurush"/>
        </w:rPr>
        <w:t xml:space="preserve"/>
      </w:r>
    </w:p>
    <w:p>
      <w:r>
        <w:rPr>
          <w:rFonts w:ascii="Kalpurush" w:cs="Kalpurush" w:eastAsia="Kalpurush" w:hAnsi="Kalpurush"/>
          <w:sz w:val="20"/>
          <w:szCs w:val="20"/>
        </w:rPr>
        <w:t xml:space="preserve">কথিত Misc Case-এর order বা certified record আদালতে উপস্থাপন না করার কারণে Evidence Act-এর Section 114(g) অনুযায়ী, withheld important evidence may justify an adverse inference, depending upon the entire evidentiary context.</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আব্দুল আলীর পরবর্তী registered transaction—স্বাধীন corroboration</w:t>
      </w:r>
    </w:p>
    <w:p>
      <w:r>
        <w:rPr>
          <w:rFonts w:ascii="Kalpurush" w:cs="Kalpurush" w:eastAsia="Kalpurush" w:hAnsi="Kalpurush"/>
        </w:rPr>
        <w:t xml:space="preserve"/>
      </w:r>
    </w:p>
    <w:p>
      <w:r>
        <w:rPr>
          <w:rFonts w:ascii="Kalpurush" w:cs="Kalpurush" w:eastAsia="Kalpurush" w:hAnsi="Kalpurush"/>
          <w:sz w:val="20"/>
          <w:szCs w:val="20"/>
        </w:rPr>
        <w:t xml:space="preserve">১৯৫৭ সালের ২৩৯৮ নং registered deed-এ আব্দুল আলীর মাধ্যমে SA ২৩৮-সংক্রান্ত সম্পত্তির transaction হওয়াটিও আদালতের বিবেচনার দাবি রাখে।</w:t>
      </w:r>
    </w:p>
    <w:p>
      <w:r>
        <w:rPr>
          <w:rFonts w:ascii="Kalpurush" w:cs="Kalpurush" w:eastAsia="Kalpurush" w:hAnsi="Kalpurush"/>
        </w:rPr>
        <w:t xml:space="preserve"/>
      </w:r>
    </w:p>
    <w:p>
      <w:r>
        <w:rPr>
          <w:rFonts w:ascii="Kalpurush" w:cs="Kalpurush" w:eastAsia="Kalpurush" w:hAnsi="Kalpurush"/>
          <w:sz w:val="20"/>
          <w:szCs w:val="20"/>
        </w:rPr>
        <w:t xml:space="preserve">এটি একা SA record-এর title সৃষ্টি করে—এমন দাবি আমরা করছি না।</w:t>
      </w:r>
    </w:p>
    <w:p>
      <w:r>
        <w:rPr>
          <w:rFonts w:ascii="Kalpurush" w:cs="Kalpurush" w:eastAsia="Kalpurush" w:hAnsi="Kalpurush"/>
        </w:rPr>
        <w:t xml:space="preserve"/>
      </w:r>
    </w:p>
    <w:p>
      <w:r>
        <w:rPr>
          <w:rFonts w:ascii="Kalpurush" w:cs="Kalpurush" w:eastAsia="Kalpurush" w:hAnsi="Kalpurush"/>
          <w:sz w:val="20"/>
          <w:szCs w:val="20"/>
        </w:rPr>
        <w:t xml:space="preserve">বরং:</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SA record-এ আব্দুল আলীর নাম + পরবর্তী registered transaction-এ তাঁর recorded identity—এই দুইটি circumstance একই direction-এ যায়।</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বিবাদীপক্ষের title theory-তে যে foundational tenancy এবং correction-এর উপর নির্ভর করা হচ্ছে, তার primary documentary chain অনুপস্থিত।</w:t>
      </w:r>
    </w:p>
    <w:p>
      <w:r>
        <w:rPr>
          <w:rFonts w:ascii="Kalpurush" w:cs="Kalpurush" w:eastAsia="Kalpurush" w:hAnsi="Kalpurush"/>
        </w:rPr>
        <w:t xml:space="preserve"/>
      </w:r>
    </w:p>
    <w:p>
      <w:r>
        <w:rPr>
          <w:rFonts w:ascii="Kalpurush" w:cs="Kalpurush" w:eastAsia="Kalpurush" w:hAnsi="Kalpurush"/>
          <w:sz w:val="20"/>
          <w:szCs w:val="20"/>
        </w:rPr>
        <w:t xml:space="preserve">এই contrast-টি আদালতের কাছে গুরুত্বপূর্ণ।</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একই দাগে পৃথক খতিয়ান থাকলে পুরো দাগকে hotchpot-এ টানার যুক্তি গ্রহণযোগ্য নয়</w:t>
      </w:r>
    </w:p>
    <w:p>
      <w:r>
        <w:rPr>
          <w:rFonts w:ascii="Kalpurush" w:cs="Kalpurush" w:eastAsia="Kalpurush" w:hAnsi="Kalpurush"/>
        </w:rPr>
        <w:t xml:space="preserve"/>
      </w:r>
    </w:p>
    <w:p>
      <w:r>
        <w:rPr>
          <w:rFonts w:ascii="Kalpurush" w:cs="Kalpurush" w:eastAsia="Kalpurush" w:hAnsi="Kalpurush"/>
          <w:sz w:val="20"/>
          <w:szCs w:val="20"/>
        </w:rPr>
        <w:t xml:space="preserve">এখানে Trial Court-এর hotchpot reasoning-কে factual structure দিয়ে counter করা উচিত।</w:t>
      </w:r>
    </w:p>
    <w:p>
      <w:r>
        <w:rPr>
          <w:rFonts w:ascii="Kalpurush" w:cs="Kalpurush" w:eastAsia="Kalpurush" w:hAnsi="Kalpurush"/>
        </w:rPr>
        <w:t xml:space="preserve"/>
      </w:r>
    </w:p>
    <w:p>
      <w:r>
        <w:rPr>
          <w:rFonts w:ascii="Kalpurush" w:cs="Kalpurush" w:eastAsia="Kalpurush" w:hAnsi="Kalpurush"/>
          <w:sz w:val="20"/>
          <w:szCs w:val="20"/>
        </w:rPr>
        <w:t xml:space="preserve">আমাদের অবস্থান:</w:t>
      </w:r>
    </w:p>
    <w:p>
      <w:r>
        <w:rPr>
          <w:rFonts w:ascii="Kalpurush" w:cs="Kalpurush" w:eastAsia="Kalpurush" w:hAnsi="Kalpurush"/>
        </w:rPr>
        <w:t xml:space="preserve"/>
      </w:r>
    </w:p>
    <w:p>
      <w:r>
        <w:rPr>
          <w:rFonts w:ascii="Kalpurush" w:cs="Kalpurush" w:eastAsia="Kalpurush" w:hAnsi="Kalpurush"/>
          <w:sz w:val="20"/>
          <w:szCs w:val="20"/>
        </w:rPr>
        <w:t xml:space="preserve">দাগ একই হতে পারে; কিন্তু খতিয়ান/tenancy identity একই হওয়া আবশ্যক নয়।</w:t>
      </w:r>
    </w:p>
    <w:p>
      <w:r>
        <w:rPr>
          <w:rFonts w:ascii="Kalpurush" w:cs="Kalpurush" w:eastAsia="Kalpurush" w:hAnsi="Kalpurush"/>
        </w:rPr>
        <w:t xml:space="preserve"/>
      </w:r>
    </w:p>
    <w:p>
      <w:r>
        <w:rPr>
          <w:rFonts w:ascii="Kalpurush" w:cs="Kalpurush" w:eastAsia="Kalpurush" w:hAnsi="Kalpurush"/>
          <w:sz w:val="20"/>
          <w:szCs w:val="20"/>
        </w:rPr>
        <w:t xml:space="preserve">যদি একই দাগের মধ্যে—</w:t>
      </w:r>
    </w:p>
    <w:p>
      <w:r>
        <w:rPr>
          <w:rFonts w:ascii="Kalpurush" w:cs="Kalpurush" w:eastAsia="Kalpurush" w:hAnsi="Kalpurush"/>
        </w:rPr>
        <w:t xml:space="preserve"/>
      </w:r>
    </w:p>
    <w:p>
      <w:r>
        <w:rPr>
          <w:rFonts w:ascii="Kalpurush" w:cs="Kalpurush" w:eastAsia="Kalpurush" w:hAnsi="Kalpurush"/>
          <w:sz w:val="20"/>
          <w:szCs w:val="20"/>
        </w:rPr>
        <w:t xml:space="preserve">1.  SA 238-এর ব্যক্তিগত tenancy;</w:t>
      </w:r>
    </w:p>
    <w:p>
      <w:r>
        <w:rPr>
          <w:rFonts w:ascii="Kalpurush" w:cs="Kalpurush" w:eastAsia="Kalpurush" w:hAnsi="Kalpurush"/>
          <w:sz w:val="20"/>
          <w:szCs w:val="20"/>
        </w:rPr>
        <w:t xml:space="preserve">2.  Government-এর পৃথক khatian;</w:t>
      </w:r>
    </w:p>
    <w:p>
      <w:r>
        <w:rPr>
          <w:rFonts w:ascii="Kalpurush" w:cs="Kalpurush" w:eastAsia="Kalpurush" w:hAnsi="Kalpurush"/>
          <w:sz w:val="20"/>
          <w:szCs w:val="20"/>
        </w:rPr>
        <w:t xml:space="preserve">3.  এবং Government অংশের উপর plaintiffs কোনো title/partition relief দাবি না করে,</w:t>
      </w:r>
    </w:p>
    <w:p>
      <w:r>
        <w:rPr>
          <w:rFonts w:ascii="Kalpurush" w:cs="Kalpurush" w:eastAsia="Kalpurush" w:hAnsi="Kalpurush"/>
        </w:rPr>
        <w:t xml:space="preserve"/>
      </w:r>
    </w:p>
    <w:p>
      <w:r>
        <w:rPr>
          <w:rFonts w:ascii="Kalpurush" w:cs="Kalpurush" w:eastAsia="Kalpurush" w:hAnsi="Kalpurush"/>
          <w:sz w:val="20"/>
          <w:szCs w:val="20"/>
        </w:rPr>
        <w:t xml:space="preserve">তাহলে partition-এর subject matter নির্ধারণ করতে হবে claimed co-sharers-এর title এবং relevant tenancy-এর extent অনুযায়ী।</w:t>
      </w:r>
    </w:p>
    <w:p>
      <w:r>
        <w:rPr>
          <w:rFonts w:ascii="Kalpurush" w:cs="Kalpurush" w:eastAsia="Kalpurush" w:hAnsi="Kalpurush"/>
        </w:rPr>
        <w:t xml:space="preserve"/>
      </w:r>
    </w:p>
    <w:p>
      <w:r>
        <w:rPr>
          <w:rFonts w:ascii="Kalpurush" w:cs="Kalpurush" w:eastAsia="Kalpurush" w:hAnsi="Kalpurush"/>
          <w:sz w:val="20"/>
          <w:szCs w:val="20"/>
        </w:rPr>
        <w:t xml:space="preserve">অন্য khatian-এর Government land-কে plaintiffs নিজেদের partition property হিসেবে দাবি করছেন না।</w:t>
      </w:r>
    </w:p>
    <w:p>
      <w:r>
        <w:rPr>
          <w:rFonts w:ascii="Kalpurush" w:cs="Kalpurush" w:eastAsia="Kalpurush" w:hAnsi="Kalpurush"/>
        </w:rPr>
        <w:t xml:space="preserve"/>
      </w:r>
    </w:p>
    <w:p>
      <w:r>
        <w:rPr>
          <w:rFonts w:ascii="Kalpurush" w:cs="Kalpurush" w:eastAsia="Kalpurush" w:hAnsi="Kalpurush"/>
          <w:sz w:val="20"/>
          <w:szCs w:val="20"/>
        </w:rPr>
        <w:t xml:space="preserve">সুতরাং প্রশ্ন:</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যে জমির উপর কোনো share দাবি করা হয়নি, সেটিকে বাদ দেওয়াই কি hotchpot defect সৃষ্টি করে?</w:t>
      </w:r>
    </w:p>
    <w:p>
      <w:r>
        <w:rPr>
          <w:rFonts w:ascii="Kalpurush" w:cs="Kalpurush" w:eastAsia="Kalpurush" w:hAnsi="Kalpurush"/>
        </w:rPr>
        <w:t xml:space="preserve"/>
      </w:r>
    </w:p>
    <w:p>
      <w:r>
        <w:rPr>
          <w:rFonts w:ascii="Kalpurush" w:cs="Kalpurush" w:eastAsia="Kalpurush" w:hAnsi="Kalpurush"/>
          <w:sz w:val="20"/>
          <w:szCs w:val="20"/>
        </w:rPr>
        <w:t xml:space="preserve">এই প্রশ্নের উত্তর “হ্যাঁ” হতে হলে আগে দেখাতে হবে যে উক্ত Government land একই joint tenancy-এর অবিচ্ছেদ্য অংশ।</w:t>
      </w:r>
    </w:p>
    <w:p>
      <w:r>
        <w:rPr>
          <w:rFonts w:ascii="Kalpurush" w:cs="Kalpurush" w:eastAsia="Kalpurush" w:hAnsi="Kalpurush"/>
        </w:rPr>
        <w:t xml:space="preserve"/>
      </w:r>
    </w:p>
    <w:p>
      <w:r>
        <w:rPr>
          <w:rFonts w:ascii="Kalpurush" w:cs="Kalpurush" w:eastAsia="Kalpurush" w:hAnsi="Kalpurush"/>
          <w:sz w:val="20"/>
          <w:szCs w:val="20"/>
        </w:rPr>
        <w:t xml:space="preserve">যদি পৃথক khatian ও পৃথক Government status বিদ্যমান থাকে, তাহলে সেই factual foundation অনুপস্থিত।</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১৬. সরকারকে party করার প্রশ্নেও relief-based test প্রয়োগ করা উচিত</w:t>
      </w:r>
    </w:p>
    <w:p>
      <w:r>
        <w:rPr>
          <w:rFonts w:ascii="Kalpurush" w:cs="Kalpurush" w:eastAsia="Kalpurush" w:hAnsi="Kalpurush"/>
        </w:rPr>
        <w:t xml:space="preserve"/>
      </w:r>
    </w:p>
    <w:p>
      <w:r>
        <w:rPr>
          <w:rFonts w:ascii="Kalpurush" w:cs="Kalpurush" w:eastAsia="Kalpurush" w:hAnsi="Kalpurush"/>
          <w:sz w:val="20"/>
          <w:szCs w:val="20"/>
        </w:rPr>
        <w:t xml:space="preserve">সরকারকে কেবল এই কারণে necessary party করা যাবে না যে একই dag number-এর মধ্যে Government land আছে।</w:t>
      </w:r>
    </w:p>
    <w:p>
      <w:r>
        <w:rPr>
          <w:rFonts w:ascii="Kalpurush" w:cs="Kalpurush" w:eastAsia="Kalpurush" w:hAnsi="Kalpurush"/>
        </w:rPr>
        <w:t xml:space="preserve"/>
      </w:r>
    </w:p>
    <w:p>
      <w:r>
        <w:rPr>
          <w:rFonts w:ascii="Kalpurush" w:cs="Kalpurush" w:eastAsia="Kalpurush" w:hAnsi="Kalpurush"/>
          <w:sz w:val="20"/>
          <w:szCs w:val="20"/>
        </w:rPr>
        <w:t xml:space="preserve">প্রথমে দেখতে হবে:</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বাদীপক্ষ সরকারের বিরুদ্ধে কোনো declaration, recovery, partition বা অন্য substantive relief চেয়েছে কি না?</w:t>
      </w:r>
    </w:p>
    <w:p>
      <w:r>
        <w:rPr>
          <w:rFonts w:ascii="Kalpurush" w:cs="Kalpurush" w:eastAsia="Kalpurush" w:hAnsi="Kalpurush"/>
        </w:rPr>
        <w:t xml:space="preserve"/>
      </w:r>
    </w:p>
    <w:p>
      <w:r>
        <w:rPr>
          <w:rFonts w:ascii="Kalpurush" w:cs="Kalpurush" w:eastAsia="Kalpurush" w:hAnsi="Kalpurush"/>
          <w:sz w:val="20"/>
          <w:szCs w:val="20"/>
        </w:rPr>
        <w:t xml:space="preserve">যদি না চেয়ে থাকে এবং Government land partition-এর subject matter-ও না হয়, তাহলে Government-এর interest adjudicate করার প্রয়োজন কোথায়?</w:t>
      </w:r>
    </w:p>
    <w:p>
      <w:r>
        <w:rPr>
          <w:rFonts w:ascii="Kalpurush" w:cs="Kalpurush" w:eastAsia="Kalpurush" w:hAnsi="Kalpurush"/>
        </w:rPr>
        <w:t xml:space="preserve"/>
      </w:r>
    </w:p>
    <w:p>
      <w:r>
        <w:rPr>
          <w:rFonts w:ascii="Kalpurush" w:cs="Kalpurush" w:eastAsia="Kalpurush" w:hAnsi="Kalpurush"/>
          <w:sz w:val="20"/>
          <w:szCs w:val="20"/>
        </w:rPr>
        <w:t xml:space="preserve">অতএব non-joinder-এর প্রশ্নটি title issue-এর ফল নয়; বরং relief এবং subject matter-এর উপর নির্ভরশীল।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[49 DLR (AD) 15]:</w:t>
      </w:r>
      <w:r>
        <w:rPr>
          <w:rFonts w:ascii="Kalpurush" w:cs="Kalpurush" w:eastAsia="Kalpurush" w:hAnsi="Kalpurush"/>
          <w:i/>
          <w:iCs/>
          <w:sz w:val="20"/>
          <w:szCs w:val="20"/>
        </w:rPr>
        <w:t xml:space="preserve"> *"Non-joinder of a party against whom no relief is claimed is not fatal to the suit."*</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১৭. ১নং বিবাদীর অবস্থানও আদালতের সামগ্রিক discretionary assessment-এ বিবেচ্য</w:t>
      </w:r>
    </w:p>
    <w:p>
      <w:r>
        <w:rPr>
          <w:rFonts w:ascii="Kalpurush" w:cs="Kalpurush" w:eastAsia="Kalpurush" w:hAnsi="Kalpurush"/>
        </w:rPr>
        <w:t xml:space="preserve"/>
      </w:r>
    </w:p>
    <w:p>
      <w:r>
        <w:rPr>
          <w:rFonts w:ascii="Kalpurush" w:cs="Kalpurush" w:eastAsia="Kalpurush" w:hAnsi="Kalpurush"/>
          <w:sz w:val="20"/>
          <w:szCs w:val="20"/>
        </w:rPr>
        <w:t xml:space="preserve">যদি ১নং বিবাদী আব্দুল আলীর নিজ পুত্র হয়ে থাকেন এবং তিনি compromise/solenama-এর মাধ্যমে partition-এ সম্মতি দিয়ে থাকেন, তাহলে তাঁর conduct-টি সম্পূর্ণ উপেক্ষা করা উচিত নয়।</w:t>
      </w:r>
    </w:p>
    <w:p>
      <w:r>
        <w:rPr>
          <w:rFonts w:ascii="Kalpurush" w:cs="Kalpurush" w:eastAsia="Kalpurush" w:hAnsi="Kalpurush"/>
        </w:rPr>
        <w:t xml:space="preserve"/>
      </w:r>
    </w:p>
    <w:p>
      <w:r>
        <w:rPr>
          <w:rFonts w:ascii="Kalpurush" w:cs="Kalpurush" w:eastAsia="Kalpurush" w:hAnsi="Kalpurush"/>
          <w:sz w:val="20"/>
          <w:szCs w:val="20"/>
        </w:rPr>
        <w:t xml:space="preserve">তবে এটিকে স্বয়ংক্রিয় title admission বলা উচিত নয়।</w:t>
      </w:r>
    </w:p>
    <w:p>
      <w:r>
        <w:rPr>
          <w:rFonts w:ascii="Kalpurush" w:cs="Kalpurush" w:eastAsia="Kalpurush" w:hAnsi="Kalpurush"/>
        </w:rPr>
        <w:t xml:space="preserve"/>
      </w:r>
    </w:p>
    <w:p>
      <w:r>
        <w:rPr>
          <w:rFonts w:ascii="Kalpurush" w:cs="Kalpurush" w:eastAsia="Kalpurush" w:hAnsi="Kalpurush"/>
          <w:sz w:val="20"/>
          <w:szCs w:val="20"/>
        </w:rPr>
        <w:t xml:space="preserve">বরং বলা উচিত:</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তিনি যদি নিজেকে আব্দুল আলীর উত্তরাধিকারী হিসেবে স্বীকার করে partition proceeding-এ অংশগ্রহণ ও সমঝোতায় সম্মতি দিয়ে থাকেন, তবে সেই conduct অন্যান্য documentary evidence-এর সঙ্গে মিলিয়ে বিচার করা প্রয়োজন ছিল।</w:t>
      </w:r>
    </w:p>
    <w:p>
      <w:r>
        <w:rPr>
          <w:rFonts w:ascii="Kalpurush" w:cs="Kalpurush" w:eastAsia="Kalpurush" w:hAnsi="Kalpurush"/>
        </w:rPr>
        <w:t xml:space="preserve"/>
      </w:r>
    </w:p>
    <w:p>
      <w:r>
        <w:rPr>
          <w:rFonts w:ascii="Kalpurush" w:cs="Kalpurush" w:eastAsia="Kalpurush" w:hAnsi="Kalpurush"/>
          <w:sz w:val="20"/>
          <w:szCs w:val="20"/>
        </w:rPr>
        <w:t xml:space="preserve">এতে argumentটি অনেক বেশি measured থাকবে।</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১৮. প্রতিপক্ষের আচরণের সামগ্রিক মূল্যায়ন: Affirmative Title Claim নাকি Partition Obstruction?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আপীল্যান্টগণ প্রতিপক্ষের উপর সরাসরি fraud বা dishonest intention-এর কোনো চূড়ান্ত অভিযোগ আরোপ করিতেছেন না। </w:t>
      </w:r>
    </w:p>
    <w:p>
      <w:r>
        <w:rPr>
          <w:rFonts w:ascii="Kalpurush" w:cs="Kalpurush" w:eastAsia="Kalpurush" w:hAnsi="Kalpurush"/>
        </w:rPr>
        <w:t xml:space="preserve"/>
      </w:r>
    </w:p>
    <w:p>
      <w:r>
        <w:rPr>
          <w:rFonts w:ascii="Kalpurush" w:cs="Kalpurush" w:eastAsia="Kalpurush" w:hAnsi="Kalpurush"/>
          <w:sz w:val="20"/>
          <w:szCs w:val="20"/>
        </w:rPr>
        <w:t xml:space="preserve">এখানে প্রশ্নটি একটি নির্দিষ্ট ব্যক্তির মনের অভিপ্রায় অনুমান করা নয়; বরং আদালতের সামনে থাকা বিভিন্ন circumstance একত্রে বিচার করিয়া প্রতিপক্ষের defence কতটা bona fide, internally consistent এবং evidence-supported—তাহা নির্ধারণ করা।</w:t>
      </w:r>
    </w:p>
    <w:p>
      <w:r>
        <w:rPr>
          <w:rFonts w:ascii="Kalpurush" w:cs="Kalpurush" w:eastAsia="Kalpurush" w:hAnsi="Kalpurush"/>
        </w:rPr>
        <w:t xml:space="preserve"/>
      </w:r>
    </w:p>
    <w:p>
      <w:r>
        <w:rPr>
          <w:rFonts w:ascii="Kalpurush" w:cs="Kalpurush" w:eastAsia="Kalpurush" w:hAnsi="Kalpurush"/>
          <w:sz w:val="20"/>
          <w:szCs w:val="20"/>
        </w:rPr>
        <w:t xml:space="preserve">যে পক্ষ সত্যিকার অর্থে নিজেকে competing co-sharer হিসেবে দাবি করে, তার স্বাভাবিক litigation position হতে পারে নিজের নির্দিষ্ট share, entitlement বা alternative allotment (সাহার) দাবি করা। কিন্তু record দেখায় যে contesting respondents:</w:t>
      </w:r>
    </w:p>
    <w:p>
      <w:pPr>
        <w:pStyle w:val="ListParagraph"/>
        <w:numPr>
          <w:ilvl w:val="0"/>
          <w:numId w:val="1"/>
        </w:numPr>
      </w:pPr>
      <w:r>
        <w:rPr>
          <w:rFonts w:ascii="Kalpurush" w:cs="Kalpurush" w:eastAsia="Kalpurush" w:hAnsi="Kalpurush"/>
          <w:sz w:val="20"/>
          <w:szCs w:val="20"/>
        </w:rPr>
        <w:t xml:space="preserve">নিজেদের কোনো নির্দিষ্ট saham বা allotment প্রতিষ্ঠার জন্য substantive relief চাননি;</w:t>
      </w:r>
    </w:p>
    <w:p>
      <w:pPr>
        <w:pStyle w:val="ListParagraph"/>
        <w:numPr>
          <w:ilvl w:val="0"/>
          <w:numId w:val="1"/>
        </w:numPr>
      </w:pPr>
      <w:r>
        <w:rPr>
          <w:rFonts w:ascii="Kalpurush" w:cs="Kalpurush" w:eastAsia="Kalpurush" w:hAnsi="Kalpurush"/>
          <w:sz w:val="20"/>
          <w:szCs w:val="20"/>
        </w:rPr>
        <w:t xml:space="preserve">partition কীভাবে তাঁদের share-এ effect করবে সে বিষয়ে alternative case দেননি;</w:t>
      </w:r>
    </w:p>
    <w:p>
      <w:pPr>
        <w:pStyle w:val="ListParagraph"/>
        <w:numPr>
          <w:ilvl w:val="0"/>
          <w:numId w:val="1"/>
        </w:numPr>
      </w:pPr>
      <w:r>
        <w:rPr>
          <w:rFonts w:ascii="Kalpurush" w:cs="Kalpurush" w:eastAsia="Kalpurush" w:hAnsi="Kalpurush"/>
          <w:sz w:val="20"/>
          <w:szCs w:val="20"/>
        </w:rPr>
        <w:t xml:space="preserve">বরং প্রধানত সম্পূর্ণ partition suit dismissal-এর দিকে জোর দিয়েছেন;</w:t>
      </w:r>
    </w:p>
    <w:p>
      <w:pPr>
        <w:pStyle w:val="ListParagraph"/>
        <w:numPr>
          <w:ilvl w:val="0"/>
          <w:numId w:val="1"/>
        </w:numPr>
      </w:pPr>
      <w:r>
        <w:rPr>
          <w:rFonts w:ascii="Kalpurush" w:cs="Kalpurush" w:eastAsia="Kalpurush" w:hAnsi="Kalpurush"/>
          <w:sz w:val="20"/>
          <w:szCs w:val="20"/>
        </w:rPr>
        <w:t xml:space="preserve">একই সঙ্গে যে correction theory-এর উপর dismissal দাবি করছেন, তার foundational primary documents উপস্থাপন করতে পারেননি;</w:t>
      </w:r>
    </w:p>
    <w:p>
      <w:pPr>
        <w:pStyle w:val="ListParagraph"/>
        <w:numPr>
          <w:ilvl w:val="0"/>
          <w:numId w:val="1"/>
        </w:numPr>
      </w:pPr>
      <w:r>
        <w:rPr>
          <w:rFonts w:ascii="Kalpurush" w:cs="Kalpurush" w:eastAsia="Kalpurush" w:hAnsi="Kalpurush"/>
          <w:sz w:val="20"/>
          <w:szCs w:val="20"/>
        </w:rPr>
        <w:t xml:space="preserve">নিজেদের 1975 deed-এর সঙ্গে বর্তমান theory reconcile করেননি।</w:t>
      </w:r>
    </w:p>
    <w:p>
      <w:r>
        <w:rPr>
          <w:rFonts w:ascii="Kalpurush" w:cs="Kalpurush" w:eastAsia="Kalpurush" w:hAnsi="Kalpurush"/>
        </w:rPr>
        <w:t xml:space="preserve"/>
      </w:r>
    </w:p>
    <w:p>
      <w:r>
        <w:rPr>
          <w:rFonts w:ascii="Kalpurush" w:cs="Kalpurush" w:eastAsia="Kalpurush" w:hAnsi="Kalpurush"/>
          <w:sz w:val="20"/>
          <w:szCs w:val="20"/>
        </w:rPr>
        <w:t xml:space="preserve">যেহেতু প্রতিপক্ষ বাটোয়ারা মামলায় নিজেদের কোনো সাহাম বা এলটমেন্ট প্রার্থনা করে নাই, ইহাতে প্রতীয়মান হয় যে প্রকৃত co-sharer-এর ন্যায় আচরণ না করিয়া তাহাদের মূল লক্ষ্য কেবল partition proceeding-টি বাধাগ্রস্ত করা। </w:t>
      </w:r>
    </w:p>
    <w:p>
      <w:r>
        <w:rPr>
          <w:rFonts w:ascii="Kalpurush" w:cs="Kalpurush" w:eastAsia="Kalpurush" w:hAnsi="Kalpurush"/>
        </w:rPr>
        <w:t xml:space="preserve"/>
      </w:r>
    </w:p>
    <w:p>
      <w:r>
        <w:rPr>
          <w:rFonts w:ascii="Kalpurush" w:cs="Kalpurush" w:eastAsia="Kalpurush" w:hAnsi="Kalpurush"/>
          <w:sz w:val="20"/>
          <w:szCs w:val="20"/>
        </w:rPr>
        <w:t xml:space="preserve">Missing documents, inconsistent documents, এবং obstructive outcome—এই তিনটি circumstance একত্রে কোনো automatic finding of fraud সৃষ্টি করে না; কিন্তু এগুলো trial court-এর কাছে alleged correction theory-এর evidentiary reliability আরও কঠোরভাবে পরীক্ষা করার দাবি রাখে।</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The cumulative conduct raises a legitimate question whether the contest is directed toward establishing an affirmative competing share, or primarily toward defeating the partition proceeding itself.</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rPr>
        <w:t xml:space="preserve"/>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১৯. আপিলের সবচেয়ে সংক্ষিপ্ত formulation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চাইলে এই মামলাটিকে মাত্র চারটি প্রশ্নে সীমাবদ্ধ করতে পারেন:</w:t>
      </w:r>
    </w:p>
    <w:p>
      <w:r>
        <w:rPr>
          <w:rFonts w:ascii="Kalpurush" w:cs="Kalpurush" w:eastAsia="Kalpurush" w:hAnsi="Kalpurush"/>
        </w:rPr>
        <w:t xml:space="preserve"/>
      </w:r>
    </w:p>
    <w:p>
      <w:r>
        <w:rPr>
          <w:rFonts w:ascii="Kalpurush" w:cs="Kalpurush" w:eastAsia="Kalpurush" w:hAnsi="Kalpurush"/>
          <w:b/>
          <w:bCs/>
          <w:sz w:val="20"/>
          <w:szCs w:val="20"/>
        </w:rPr>
        <w:t xml:space="preserve">প্রশ্ন–১:</w:t>
      </w:r>
      <w:r>
        <w:rPr>
          <w:rFonts w:ascii="Kalpurush" w:cs="Kalpurush" w:eastAsia="Kalpurush" w:hAnsi="Kalpurush"/>
          <w:sz w:val="20"/>
          <w:szCs w:val="20"/>
        </w:rPr>
        <w:t xml:space="preserve"> আব্দুল করিমের alleged root tenancy-এর নির্ভরযোগ্য foundational evidence কোথায়?</w:t>
      </w:r>
    </w:p>
    <w:p>
      <w:r>
        <w:rPr>
          <w:rFonts w:ascii="Kalpurush" w:cs="Kalpurush" w:eastAsia="Kalpurush" w:hAnsi="Kalpurush"/>
          <w:b/>
          <w:bCs/>
          <w:sz w:val="20"/>
          <w:szCs w:val="20"/>
        </w:rPr>
        <w:t xml:space="preserve">প্রশ্ন–২:</w:t>
      </w:r>
      <w:r>
        <w:rPr>
          <w:rFonts w:ascii="Kalpurush" w:cs="Kalpurush" w:eastAsia="Kalpurush" w:hAnsi="Kalpurush"/>
          <w:sz w:val="20"/>
          <w:szCs w:val="20"/>
        </w:rPr>
        <w:t xml:space="preserve"> SA 238-এর entry ভুল প্রমাণ করার জন্য কী cogent evidence আছে?</w:t>
      </w:r>
    </w:p>
    <w:p>
      <w:r>
        <w:rPr>
          <w:rFonts w:ascii="Kalpurush" w:cs="Kalpurush" w:eastAsia="Kalpurush" w:hAnsi="Kalpurush"/>
          <w:b/>
          <w:bCs/>
          <w:sz w:val="20"/>
          <w:szCs w:val="20"/>
        </w:rPr>
        <w:t xml:space="preserve">প্রশ্ন–৩:</w:t>
      </w:r>
      <w:r>
        <w:rPr>
          <w:rFonts w:ascii="Kalpurush" w:cs="Kalpurush" w:eastAsia="Kalpurush" w:hAnsi="Kalpurush"/>
          <w:sz w:val="20"/>
          <w:szCs w:val="20"/>
        </w:rPr>
        <w:t xml:space="preserve"> 1969 Misc Case 1181-এর alleged correction order কোথায়?</w:t>
      </w:r>
    </w:p>
    <w:p>
      <w:r>
        <w:rPr>
          <w:rFonts w:ascii="Kalpurush" w:cs="Kalpurush" w:eastAsia="Kalpurush" w:hAnsi="Kalpurush"/>
          <w:b/>
          <w:bCs/>
          <w:sz w:val="20"/>
          <w:szCs w:val="20"/>
        </w:rPr>
        <w:t xml:space="preserve">প্রশ্ন–৪:</w:t>
      </w:r>
      <w:r>
        <w:rPr>
          <w:rFonts w:ascii="Kalpurush" w:cs="Kalpurush" w:eastAsia="Kalpurush" w:hAnsi="Kalpurush"/>
          <w:sz w:val="20"/>
          <w:szCs w:val="20"/>
        </w:rPr>
        <w:t xml:space="preserve"> Parent order ছাড়া AC Land volume entry কীভাবে একজন নতুন ব্যক্তিকে substantive tenancy interest প্রদান করে?</w:t>
      </w:r>
    </w:p>
    <w:p>
      <w:r>
        <w:rPr>
          <w:rFonts w:ascii="Kalpurush" w:cs="Kalpurush" w:eastAsia="Kalpurush" w:hAnsi="Kalpurush"/>
        </w:rPr>
        <w:t xml:space="preserve"/>
      </w:r>
    </w:p>
    <w:p>
      <w:r>
        <w:rPr>
          <w:rFonts w:ascii="Kalpurush" w:cs="Kalpurush" w:eastAsia="Kalpurush" w:hAnsi="Kalpurush"/>
          <w:sz w:val="20"/>
          <w:szCs w:val="20"/>
        </w:rPr>
        <w:t xml:space="preserve">যদি চারটির উত্তরই বিবাদীপক্ষের পক্ষে documentary certainty সৃষ্টি করতে না পারে, তাহলে SA 238-এর statutory presumption অক্ষুণ্ণ থাকে।</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২০. অতএব Trial Court-এর judgment-এর বিরুদ্ধে appellate conclusion</w:t>
      </w:r>
    </w:p>
    <w:p>
      <w:r>
        <w:rPr>
          <w:rFonts w:ascii="Kalpurush" w:cs="Kalpurush" w:eastAsia="Kalpurush" w:hAnsi="Kalpurush"/>
        </w:rPr>
        <w:t xml:space="preserve"/>
      </w:r>
    </w:p>
    <w:p>
      <w:r>
        <w:rPr>
          <w:rFonts w:ascii="Kalpurush" w:cs="Kalpurush" w:eastAsia="Kalpurush" w:hAnsi="Kalpurush"/>
          <w:sz w:val="20"/>
          <w:szCs w:val="20"/>
        </w:rPr>
        <w:t xml:space="preserve">Trial Court মূলত একটি presumed correction-কে বাস্তব correction হিসেবে গ্রহণ করেছেন।</w:t>
      </w:r>
    </w:p>
    <w:p>
      <w:r>
        <w:rPr>
          <w:rFonts w:ascii="Kalpurush" w:cs="Kalpurush" w:eastAsia="Kalpurush" w:hAnsi="Kalpurush"/>
        </w:rPr>
        <w:t xml:space="preserve"/>
      </w:r>
    </w:p>
    <w:p>
      <w:r>
        <w:rPr>
          <w:rFonts w:ascii="Kalpurush" w:cs="Kalpurush" w:eastAsia="Kalpurush" w:hAnsi="Kalpurush"/>
          <w:sz w:val="20"/>
          <w:szCs w:val="20"/>
        </w:rPr>
        <w:t xml:space="preserve">কিন্তু appellate scrutiny-তে প্রথমে প্রমাণ করতে হবে:</w:t>
      </w:r>
    </w:p>
    <w:p>
      <w:r>
        <w:rPr>
          <w:rFonts w:ascii="Kalpurush" w:cs="Kalpurush" w:eastAsia="Kalpurush" w:hAnsi="Kalpurush"/>
        </w:rPr>
        <w:t xml:space="preserve"/>
      </w:r>
    </w:p>
    <w:p>
      <w:r>
        <w:rPr>
          <w:rFonts w:ascii="Kalpurush" w:cs="Kalpurush" w:eastAsia="Kalpurush" w:hAnsi="Kalpurush"/>
          <w:sz w:val="20"/>
          <w:szCs w:val="20"/>
        </w:rPr>
        <w:t xml:space="preserve">Correction existed → correction was lawful → correction was based on competent proceeding → proceeding was properly proved → correction had legal effect.</w:t>
      </w:r>
    </w:p>
    <w:p>
      <w:r>
        <w:rPr>
          <w:rFonts w:ascii="Kalpurush" w:cs="Kalpurush" w:eastAsia="Kalpurush" w:hAnsi="Kalpurush"/>
        </w:rPr>
        <w:t xml:space="preserve"/>
      </w:r>
    </w:p>
    <w:p>
      <w:r>
        <w:rPr>
          <w:rFonts w:ascii="Kalpurush" w:cs="Kalpurush" w:eastAsia="Kalpurush" w:hAnsi="Kalpurush"/>
          <w:sz w:val="20"/>
          <w:szCs w:val="20"/>
        </w:rPr>
        <w:t xml:space="preserve">এই chain-এর foundational link অনুপস্থিত থাকিলে কেবল volume entry-কে decisive evidence হিসেবে গ্রহণ করা নিরাপদ নয়।</w:t>
      </w:r>
    </w:p>
    <w:p>
      <w:r>
        <w:rPr>
          <w:rFonts w:ascii="Kalpurush" w:cs="Kalpurush" w:eastAsia="Kalpurush" w:hAnsi="Kalpurush"/>
        </w:rPr>
        <w:t xml:space="preserve"/>
      </w:r>
    </w:p>
    <w:p>
      <w:r>
        <w:rPr>
          <w:rFonts w:ascii="Kalpurush" w:cs="Kalpurush" w:eastAsia="Kalpurush" w:hAnsi="Kalpurush"/>
          <w:sz w:val="20"/>
          <w:szCs w:val="20"/>
        </w:rPr>
        <w:t xml:space="preserve">এবং সেই অবস্থায় SA 238-এর finally published entry-কে ভুল প্রমাণের burden পুনরায় plaintiffs-এর উপর চাপানোও যথাযথ নয়।</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FINAL SUBMISSION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আপীল্যান্টপক্ষ SA ২৩৮-কে অখণ্ডনীয় record বলিতেছে না। আপীল্যান্টদের নিবেদন আরও সীমিত—যে পক্ষ এই particular record-এর বিরুদ্ধে একটি specific substantive correction এবং displacement-এর উপর নির্ভর করছে, সেই পক্ষকে সেই corrective event-এর existence, legal source, authority, contents এবং implementation-এর নির্ভরযোগ্য ভিত্তি দেখাইতে হইবে।</w:t>
      </w:r>
    </w:p>
    <w:p>
      <w:r>
        <w:rPr>
          <w:rFonts w:ascii="Kalpurush" w:cs="Kalpurush" w:eastAsia="Kalpurush" w:hAnsi="Kalpurush"/>
        </w:rPr>
        <w:t xml:space="preserve"/>
      </w:r>
    </w:p>
    <w:p>
      <w:r>
        <w:rPr>
          <w:rFonts w:ascii="Kalpurush" w:cs="Kalpurush" w:eastAsia="Kalpurush" w:hAnsi="Kalpurush"/>
          <w:sz w:val="20"/>
          <w:szCs w:val="20"/>
        </w:rPr>
        <w:t xml:space="preserve">এখানে আমরা একটি record-এর বিরুদ্ধে আরেকটি record মাত্র দেখিতেছি না; আমরা একটি প্রমাণিত final record-এর বিরুদ্ধে একটি alleged historical event-এর দাবি দেখিতেছি। অথচ সেই event-এর foundational documentary chain অসম্পূর্ণ, তার alleged consequence-এর সঙ্গে respondents-এর নিজস্ব 1975 সালের registered deed-এর material inconsistency আছে, এবং বর্তমান District Record Room-এর record-ও সেই alleged substantive change-এর সঙ্গে reconcile করা হয়নি।</w:t>
      </w:r>
    </w:p>
    <w:p>
      <w:r>
        <w:rPr>
          <w:rFonts w:ascii="Kalpurush" w:cs="Kalpurush" w:eastAsia="Kalpurush" w:hAnsi="Kalpurush"/>
        </w:rPr>
        <w:t xml:space="preserve"/>
      </w:r>
    </w:p>
    <w:p>
      <w:r>
        <w:rPr>
          <w:rFonts w:ascii="Kalpurush" w:cs="Kalpurush" w:eastAsia="Kalpurush" w:hAnsi="Kalpurush"/>
          <w:sz w:val="20"/>
          <w:szCs w:val="20"/>
        </w:rPr>
        <w:t xml:space="preserve">এমন অবস্থায় আদালতের কাছে প্রশ্নটি হওয়া উচিত নয়—“SA 238 ভুল হতে পারে কি?” প্রশ্নটি হওয়া উচিত—“এই particular SA 238 কীভাবে, কখন এবং কোন নির্ভরযোগ্য আইনগত প্রক্রিয়ায় displaced হয়েছিল?”</w:t>
      </w:r>
    </w:p>
    <w:p>
      <w:r>
        <w:rPr>
          <w:rFonts w:ascii="Kalpurush" w:cs="Kalpurush" w:eastAsia="Kalpurush" w:hAnsi="Kalpurush"/>
        </w:rPr>
        <w:t xml:space="preserve"/>
      </w:r>
    </w:p>
    <w:p>
      <w:r>
        <w:rPr>
          <w:rFonts w:ascii="Kalpurush" w:cs="Kalpurush" w:eastAsia="Kalpurush" w:hAnsi="Kalpurush"/>
          <w:sz w:val="20"/>
          <w:szCs w:val="20"/>
        </w:rPr>
        <w:t xml:space="preserve">আমাদের বিনীত submission—সেই bridge প্রমাণিত হয় নাই। আর যখন সেই bridge প্রমাণিত হয় নাই, তখন কেবল একটি unexplained consequential volume entry-এর উপর দাঁড় করিয়ে প্রকৃত co-sharers-এর partition remedy সম্পূর্ণভাবে নাকচ করা ন্যায়সংগত হবে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অতএব 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উপরোক্ত facts, evidence এবং প্রযোজ্য আইনের আলোকে মহামান্য আদালতের নিকট 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ক. বিজ্ঞ নিম্ন আদালতের ০৫/০৪/২০২৬ তারিখের judgment এবং ০৯/০৪/২০২৬ তারিখের decree আইন ও সাক্ষ্যের সঠিক মূল্যায়নের পরিপন্থী মর্মে সেটি set aside করা হউক;</w:t>
      </w:r>
    </w:p>
    <w:p>
      <w:r>
        <w:rPr>
          <w:rFonts w:ascii="Kalpurush" w:cs="Kalpurush" w:eastAsia="Kalpurush" w:hAnsi="Kalpurush"/>
        </w:rPr>
        <w:t xml:space="preserve"/>
      </w:r>
    </w:p>
    <w:p>
      <w:r>
        <w:rPr>
          <w:rFonts w:ascii="Kalpurush" w:cs="Kalpurush" w:eastAsia="Kalpurush" w:hAnsi="Kalpurush"/>
          <w:sz w:val="20"/>
          <w:szCs w:val="20"/>
        </w:rPr>
        <w:t xml:space="preserve">খ. SA ২৩৮ নং খতিয়ানে প্রতিফলিত আপীল্যান্টদের predecessor-এর স্বত্ব ও সংশ্লিষ্ট co-sharers-এর অধিকার আইনানুগভাবে নির্ধারণপূর্বক partition proceeding অগ্রসর করার নির্দেশ প্রদান করা হউক;</w:t>
      </w:r>
    </w:p>
    <w:p>
      <w:r>
        <w:rPr>
          <w:rFonts w:ascii="Kalpurush" w:cs="Kalpurush" w:eastAsia="Kalpurush" w:hAnsi="Kalpurush"/>
        </w:rPr>
        <w:t xml:space="preserve"/>
      </w:r>
    </w:p>
    <w:p>
      <w:r>
        <w:rPr>
          <w:rFonts w:ascii="Kalpurush" w:cs="Kalpurush" w:eastAsia="Kalpurush" w:hAnsi="Kalpurush"/>
          <w:sz w:val="20"/>
          <w:szCs w:val="20"/>
        </w:rPr>
        <w:t xml:space="preserve">গ. Government-এর পৃথক খতিয়ানভুক্ত ভূমি, যাহা আপীল্যান্টগণ নিজেদের partition property হিসেবে দাবি করেন নাই, তাহা partition-এর subject matter-এর বাইরে রাখিয়া Advocate Commissioner-এর মাধ্যমে বাস্তব বণ্টনের প্রয়োজনীয় ব্যবস্থা গ্রহণ করা হউক;</w:t>
      </w:r>
    </w:p>
    <w:p>
      <w:r>
        <w:rPr>
          <w:rFonts w:ascii="Kalpurush" w:cs="Kalpurush" w:eastAsia="Kalpurush" w:hAnsi="Kalpurush"/>
        </w:rPr>
        <w:t xml:space="preserve"/>
      </w:r>
    </w:p>
    <w:p>
      <w:r>
        <w:rPr>
          <w:rFonts w:ascii="Kalpurush" w:cs="Kalpurush" w:eastAsia="Kalpurush" w:hAnsi="Kalpurush"/>
          <w:sz w:val="20"/>
          <w:szCs w:val="20"/>
        </w:rPr>
        <w:t xml:space="preserve">ঘ. বিবাদীপক্ষের alleged correction-এর ভিত্তি হিসেবে কথিত Misc Case No. 1181/1969-এর primary record অনুপস্থিত থাকা এবং AC Land volume entry-এর evidentiary/legal foundation অপর্যাপ্ত হওয়ার বিষয়টি যথাযথভাবে বিবেচনা করা হউক;</w:t>
      </w:r>
    </w:p>
    <w:p>
      <w:r>
        <w:rPr>
          <w:rFonts w:ascii="Kalpurush" w:cs="Kalpurush" w:eastAsia="Kalpurush" w:hAnsi="Kalpurush"/>
        </w:rPr>
        <w:t xml:space="preserve"/>
      </w:r>
    </w:p>
    <w:p>
      <w:r>
        <w:rPr>
          <w:rFonts w:ascii="Kalpurush" w:cs="Kalpurush" w:eastAsia="Kalpurush" w:hAnsi="Kalpurush"/>
          <w:sz w:val="20"/>
          <w:szCs w:val="20"/>
        </w:rPr>
        <w:t xml:space="preserve">ঙ. ন্যায়বিচারের স্বার্থে আপিল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বিনীত নিবেদন সমাপ্ত।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Counsel's Note: Potential Threshold Issue (Jurisdiction)</w:t>
      </w:r>
    </w:p>
    <w:p>
      <w:pPr>
        <w:pStyle w:val="ListParagraph"/>
        <w:numPr>
          <w:ilvl w:val="0"/>
          <w:numId w:val="1"/>
        </w:numPr>
      </w:pPr>
      <w:r>
        <w:rPr>
          <w:rFonts w:ascii="Kalpurush" w:cs="Kalpurush" w:eastAsia="Kalpurush" w:hAnsi="Kalpurush"/>
          <w:b/>
          <w:bCs/>
          <w:sz w:val="20"/>
          <w:szCs w:val="20"/>
        </w:rPr>
        <w:t xml:space="preserve">SAT Act Sections 145A/145F:</w:t>
      </w:r>
      <w:r>
        <w:rPr>
          <w:rFonts w:ascii="Kalpurush" w:cs="Kalpurush" w:eastAsia="Kalpurush" w:hAnsi="Kalpurush"/>
          <w:sz w:val="20"/>
          <w:szCs w:val="20"/>
        </w:rPr>
        <w:t xml:space="preserve"> SA 238 is established as the </w:t>
      </w:r>
      <w:r>
        <w:rPr>
          <w:rFonts w:ascii="Kalpurush" w:cs="Kalpurush" w:eastAsia="Kalpurush" w:hAnsi="Kalpurush"/>
          <w:b/>
          <w:bCs/>
          <w:sz w:val="20"/>
          <w:szCs w:val="20"/>
        </w:rPr>
        <w:t xml:space="preserve">last revised record-of-rights</w:t>
      </w:r>
      <w:r>
        <w:rPr>
          <w:rFonts w:ascii="Kalpurush" w:cs="Kalpurush" w:eastAsia="Kalpurush" w:hAnsi="Kalpurush"/>
          <w:sz w:val="20"/>
          <w:szCs w:val="20"/>
        </w:rPr>
        <w:t xml:space="preserve"> in the area. Section 145A directs suits "arising out of the final publication of the last revised record-of-rights" to the Land Survey Tribunal, and Section 145F bars Civil Court jurisdiction where the Tribunal is established.</w:t>
      </w:r>
    </w:p>
    <w:p>
      <w:pPr>
        <w:pStyle w:val="ListParagraph"/>
        <w:numPr>
          <w:ilvl w:val="0"/>
          <w:numId w:val="1"/>
        </w:numPr>
      </w:pPr>
      <w:r>
        <w:rPr>
          <w:rFonts w:ascii="Kalpurush" w:cs="Kalpurush" w:eastAsia="Kalpurush" w:hAnsi="Kalpurush"/>
          <w:sz w:val="20"/>
          <w:szCs w:val="20"/>
        </w:rPr>
        <w:t xml:space="preserve">Counsel must independently audit the plaint’s specific relief, cause of action, and institution date. If the suit *incidentally* or *directly* adjudicates the correctness of this last revised ROR, this jurisdictional bar could become a decisive threshold issue before reaching the merits. Therefore, while arguing the merits as presented above, Counsel must be prepared for this jurisdictional dimension.</w:t>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2026-08-17T16:05:56.311Z</dcterms:created>
  <dcterms:modified xsi:type="dcterms:W3CDTF">2026-08-17T16:05:56.314Z</dcterms:modified>
</cp:coreProperties>
</file>

<file path=docProps/custom.xml><?xml version="1.0" encoding="utf-8"?>
<Properties xmlns="http://schemas.openxmlformats.org/officeDocument/2006/custom-properties" xmlns:vt="http://schemas.openxmlformats.org/officeDocument/2006/docPropsVTypes"/>
</file>