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69 — Master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w:t>
      </w:r>
    </w:p>
    <w:p>
      <w:pPr>
        <w:ind w:left="720"/>
      </w:pPr>
      <w:r>
        <w:rPr>
          <w:rFonts w:ascii="Kalpurush" w:cs="Kalpurush" w:eastAsia="Kalpurush" w:hAnsi="Kalpurush"/>
          <w:i/>
          <w:iCs/>
          <w:sz w:val="20"/>
          <w:szCs w:val="20"/>
        </w:rPr>
        <w:t xml:space="preserve">*"মহামান্য আদালত, আমি ১৯৩৪ সালে যাইতেছি না। রাষ্ট্র ১৯৫২ সালে Estate Acquire করিয়াছে এবং সরেজমিনে জমি ও দখল যাচাই করিয়া SA ২৩৮ খতিয়ান প্রস্তুত করিয়াছে। আমার কাজ শুধু দেখানো যে সেই State Record আজও অপরিবর্তিত।"*</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Authority):</w:t>
      </w:r>
    </w:p>
    <w:p>
      <w:pPr>
        <w:ind w:left="720"/>
      </w:pPr>
      <w:r>
        <w:rPr>
          <w:rFonts w:ascii="Kalpurush" w:cs="Kalpurush" w:eastAsia="Kalpurush" w:hAnsi="Kalpurush"/>
          <w:i/>
          <w:iCs/>
          <w:sz w:val="20"/>
          <w:szCs w:val="20"/>
        </w:rPr>
        <w:t xml:space="preserve">*"চূড়ান্তভাবে প্রকাশিত SA ২৩৮ নং খতিয়ান আজও সেটেলমেন্ট রেকর্ড রুমে আব্দুল আলীর নামে অপরিবর্তিত। এই খতিয়ানের presumption of correctness আইনগতভাবে প্রতিষ্ঠিত। যিনি এই রেকর্ড ভাঙিতে চান, প্রমাণের দায়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Collapse):</w:t>
      </w:r>
    </w:p>
    <w:p>
      <w:pPr>
        <w:ind w:left="720"/>
      </w:pPr>
      <w:r>
        <w:rPr>
          <w:rFonts w:ascii="Kalpurush" w:cs="Kalpurush" w:eastAsia="Kalpurush" w:hAnsi="Kalpurush"/>
          <w:i/>
          <w:iCs/>
          <w:sz w:val="20"/>
          <w:szCs w:val="20"/>
        </w:rPr>
        <w:t xml:space="preserve">*"বিবাদীদের দাবি ১৯৬৯ সালের Misc Case। আমি শুধু জানতে চাই — সেই মামলার Judgment কোথায়? Order কোথায়? Certified Copy কোথায়? Record Room-এর মূল খতিয়ান অপরিবর্তিত কেন? কিছুই নাই। শুধু মৌখিক দাবি।"*</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w:t>
      </w:r>
    </w:p>
    <w:p>
      <w:pPr>
        <w:ind w:left="720"/>
      </w:pPr>
      <w:r>
        <w:rPr>
          <w:rFonts w:ascii="Kalpurush" w:cs="Kalpurush" w:eastAsia="Kalpurush" w:hAnsi="Kalpurush"/>
          <w:i/>
          <w:iCs/>
          <w:sz w:val="20"/>
          <w:szCs w:val="20"/>
        </w:rPr>
        <w:t xml:space="preserve">*"তাহাদের নিজেদের ১৯৭৫ সালের দলিলে ৬ দাগের জমি বিক্রি হইয়াছে — অথচ এখন বলিতেছেন ১৯৬৯ সালে সংশোধন হইয়া জমি শুধু ১ দাগে সীমাবদ্ধ হইয়াছে। ১ দাগ না ৬ দাগ?"* *(এখানে থামিয়া জজকে চিন্তা করার সুযোগ দিন।)*</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Trial Court Error):</w:t>
      </w:r>
    </w:p>
    <w:p>
      <w:pPr>
        <w:ind w:left="720"/>
      </w:pPr>
      <w:r>
        <w:rPr>
          <w:rFonts w:ascii="Kalpurush" w:cs="Kalpurush" w:eastAsia="Kalpurush" w:hAnsi="Kalpurush"/>
          <w:i/>
          <w:iCs/>
          <w:sz w:val="20"/>
          <w:szCs w:val="20"/>
        </w:rPr>
        <w:t xml:space="preserve">*"বিজ্ঞ আদালত Working Copy-কে Original Record-এর উপরে বসাইয়াছেন, এবং কোনো Judgment বা Order ছাড়া একটি অপ্রমাণিত Misc Case-কে প্রমাণিত ধরিয়া লইয়াছেন। এই কারণেই ট্রায়াল কোর্টের রায় টিকিতে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এই মহামান্য আদালতের হস্তক্ষেপযোগ্য।</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মামলায় বাদীপক্ষকে জিতাইতে আদালতকে নতুন কিছু বিশ্বাস করিতে হইবে না — কেবল রাষ্ট্রের বিদ্যমান রেকর্ডকেই বিশ্বাস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চূড়ান্তভাবে প্রকাশিত SA ২৩৮ নং খতিয়ান আজও সেটেলমেন্ট রেকর্ড রুমে আব্দুল আলীর নামে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Three Independent Confirmations — তিনটি স্বাধীন উৎস, একটিই সত্য:</w:t>
      </w:r>
    </w:p>
    <w:p>
      <w:r>
        <w:rPr>
          <w:rFonts w:ascii="Kalpurush" w:cs="Kalpurush" w:eastAsia="Kalpurush" w:hAnsi="Kalpurush"/>
          <w:sz w:val="20"/>
          <w:szCs w:val="20"/>
        </w:rPr>
        <w:t xml:space="preserve">আব্দুল আলীর স্বত্ব একটিমাত্র কাগজে নির্ভরশীল নহে। তিনটি সম্পূর্ণ স্বাধীন উৎস একই কথা বলিতেছে: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নিয়ন্ত্রণ</w:t>
            </w:r>
          </w:p>
        </w:tc>
      </w:tr>
      <w:tr>
        <w:tc>
          <w:p>
            <w:r>
              <w:rPr>
                <w:rFonts w:ascii="Kalpurush" w:cs="Kalpurush" w:eastAsia="Kalpurush" w:hAnsi="Kalpurush"/>
                <w:sz w:val="20"/>
                <w:szCs w:val="20"/>
              </w:rPr>
              <w:t xml:space="preserve">১. নবাব এস্টেটের খাজনা রসিদ (Case record-এ Exhibit দ্রষ্টব্য)</w:t>
            </w:r>
          </w:p>
        </w:tc>
        <w:tc>
          <w:p>
            <w:r>
              <w:rPr>
                <w:rFonts w:ascii="Kalpurush" w:cs="Kalpurush" w:eastAsia="Kalpurush" w:hAnsi="Kalpurush"/>
                <w:sz w:val="20"/>
                <w:szCs w:val="20"/>
              </w:rPr>
              <w:t xml:space="preserve">আব্দুল আলীর নামে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২৩৯৮ নং রেজিস্ট্রিকৃত দলিল (প্রদর্শনী-২)</w:t>
            </w:r>
          </w:p>
        </w:tc>
        <w:tc>
          <w:p>
            <w:r>
              <w:rPr>
                <w:rFonts w:ascii="Kalpurush" w:cs="Kalpurush" w:eastAsia="Kalpurush" w:hAnsi="Kalpurush"/>
                <w:sz w:val="20"/>
                <w:szCs w:val="20"/>
              </w:rPr>
              <w:t xml:space="preserve">আব্দুল আলীকে স্বত্ববান ব্যক্তি হিসেবে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একক রায়ত</w:t>
            </w:r>
          </w:p>
        </w:tc>
        <w:tc>
          <w:p>
            <w:r>
              <w:rPr>
                <w:rFonts w:ascii="Kalpurush" w:cs="Kalpurush" w:eastAsia="Kalpurush" w:hAnsi="Kalpurush"/>
                <w:sz w:val="20"/>
                <w:szCs w:val="20"/>
              </w:rPr>
              <w:t xml:space="preserve">রাষ্ট্রের স্বীকৃত রেকর্ড</w:t>
            </w:r>
          </w:p>
        </w:tc>
      </w:tr>
    </w:tbl>
    <w:p>
      <w:r>
        <w:rPr>
          <w:rFonts w:ascii="Kalpurush" w:cs="Kalpurush" w:eastAsia="Kalpurush" w:hAnsi="Kalpurush"/>
        </w:rPr>
        <w:t xml:space="preserve"/>
      </w:r>
    </w:p>
    <w:p>
      <w:r>
        <w:rPr>
          <w:rFonts w:ascii="Kalpurush" w:cs="Kalpurush" w:eastAsia="Kalpurush" w:hAnsi="Kalpurush"/>
          <w:sz w:val="20"/>
          <w:szCs w:val="20"/>
        </w:rPr>
        <w:t xml:space="preserve">এই তিনটি উৎসের কোনোটিই বিবাদীদের নিয়ন্ত্রণে ছিল না — তবুও তিনটিই আব্দুল আলীর স্বত্বকে নিরবচ্ছিন্নভাবে সমর্থন করে।</w:t>
      </w:r>
    </w:p>
    <w:p>
      <w:r>
        <w:rPr>
          <w:rFonts w:ascii="Kalpurush" w:cs="Kalpurush" w:eastAsia="Kalpurush" w:hAnsi="Kalpurush"/>
        </w:rPr>
        <w:t xml:space="preserve"/>
      </w:r>
    </w:p>
    <w:p>
      <w:r>
        <w:rPr>
          <w:rFonts w:ascii="Kalpurush" w:cs="Kalpurush" w:eastAsia="Kalpurush" w:hAnsi="Kalpurush"/>
          <w:b/>
          <w:bCs/>
          <w:sz w:val="20"/>
          <w:szCs w:val="20"/>
        </w:rPr>
        <w:t xml:space="preserve">খাজনা রসিদের তাৎপর্য:</w:t>
      </w:r>
      <w:r>
        <w:rPr>
          <w:rFonts w:ascii="Kalpurush" w:cs="Kalpurush" w:eastAsia="Kalpurush" w:hAnsi="Kalpurush"/>
          <w:sz w:val="20"/>
          <w:szCs w:val="20"/>
        </w:rPr>
        <w:t xml:space="preserve"> যদি প্রকৃত প্রজা আব্দুল করিম হইতেন, তবে ঢাকা নবাব এস্টেট আব্দুল আলীর নামে খাজনা রসিদ ইস্যু করিল কেন? বিবাদীদের একমাত্র উত্তর হইতে পারে: "আব্দুল আলী জালিয়াতি করিয়াছিল।" তাহা হইলে সেই জালিয়াতির বিরুদ্ধে নবাব এস্টেট কোথায় মামলা করিল? কোথায় আপত্তি? কোথায় রিটার্ন সংশোধন? </w:t>
      </w:r>
      <w:r>
        <w:rPr>
          <w:rFonts w:ascii="Kalpurush" w:cs="Kalpurush" w:eastAsia="Kalpurush" w:hAnsi="Kalpurush"/>
          <w:b/>
          <w:bCs/>
          <w:sz w:val="20"/>
          <w:szCs w:val="20"/>
        </w:rPr>
        <w:t xml:space="preserve">কিছুই নাই।</w:t>
      </w:r>
      <w:r>
        <w:rPr>
          <w:rFonts w:ascii="Kalpurush" w:cs="Kalpurush" w:eastAsia="Kalpurush" w:hAnsi="Kalpurush"/>
          <w:sz w:val="20"/>
          <w:szCs w:val="20"/>
        </w:rPr>
        <w:t xml:space="preserve"> এই সম্পূর্ণ নীরবতাই প্রমাণ করে "জালিয়াতি তত্ত্ব" কেবল একটি ভিত্তিহীন অনুমান।</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দলিল দ্বারা প্রমাণিত হয় যে আব্দুল আলী সংশ্লিষ্ট মৌজায় স্বীয় নামে প্রকাশ্যে সম্পত্তি ক্রয় ও ভোগদখল করিতেছিলেন এবং উক্ত দলিলভুক্ত জমি SA ২৩৮ নং খতিয়ানের অন্তর্ভুক্ত। উল্লেখযোগ্য যে, এই ক্রয়ে সোনাভানু বা তাহার উত্তরাধিকারীগণের কোনো দাবি বা অংশীদারিত্বের উল্লেখ নাই — ইহা আব্দুল আলীর স্বতন্ত্র সম্পত্তিগত অবস্থানের একটি গুরুত্বপূর্ণ corroborative circumstance।</w:t>
      </w:r>
    </w:p>
    <w:p>
      <w:r>
        <w:rPr>
          <w:rFonts w:ascii="Kalpurush" w:cs="Kalpurush" w:eastAsia="Kalpurush" w:hAnsi="Kalpurush"/>
        </w:rPr>
        <w:t xml:space="preserve"/>
      </w:r>
    </w:p>
    <w:p>
      <w:r>
        <w:rPr>
          <w:rFonts w:ascii="Kalpurush" w:cs="Kalpurush" w:eastAsia="Kalpurush" w:hAnsi="Kalpurush"/>
          <w:b/>
          <w:bCs/>
          <w:sz w:val="20"/>
          <w:szCs w:val="20"/>
        </w:rPr>
        <w:t xml:space="preserve">SA রেকর্ডের ঐতিহাসিক ভিত্তি:</w:t>
      </w:r>
      <w:r>
        <w:rPr>
          <w:rFonts w:ascii="Kalpurush" w:cs="Kalpurush" w:eastAsia="Kalpurush" w:hAnsi="Kalpurush"/>
          <w:sz w:val="20"/>
          <w:szCs w:val="20"/>
        </w:rPr>
        <w:t xml:space="preserve"> ঢাকা নবাব এস্টেট ১৯০৭ সাল হইতে Court of Wards-এর অধীনে ছিল। প্রকৃতপক্ষে যিনি খাজনা প্রদান ও জমি পরিচালনা করিতেন, এস্টেট রেকর্ডে সাধারণত তাঁহার নামই প্রতিফলিত হইত। আব্দুল আলীই নবাব এস্টেটের নিকট করদ প্রজা হিসেবে স্বীকৃতি পাইয়াছিলেন — এবং সেই স্বীকৃতিই SA ২৩৮ খতিয়ানে প্রতিফলিত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Impossible Theory (বিবাদীদের অসম্ভব অনুমানের তত্ত্ব):</w:t>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নবাব এস্টেট তাহাদের রিটার্নে ভুল করিয়াছে;</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রিটার্ন প্রস্তুতকারীগণ ভুল করিয়াছেন;</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SA জরিপ কর্তৃপক্ষ সরেজমিনে ভুল করিয়াছেন;</w:t>
      </w:r>
    </w:p>
    <w:p>
      <w:pPr>
        <w:pStyle w:val="ListParagraph"/>
        <w:numPr>
          <w:ilvl w:val="0"/>
          <w:numId w:val="1"/>
        </w:numPr>
      </w:pPr>
      <w:r>
        <w:rPr>
          <w:rFonts w:ascii="Kalpurush" w:cs="Kalpurush" w:eastAsia="Kalpurush" w:hAnsi="Kalpurush"/>
          <w:b/>
          <w:bCs/>
          <w:sz w:val="20"/>
          <w:szCs w:val="20"/>
        </w:rPr>
        <w:t xml:space="preserve">(ঘ)</w:t>
      </w:r>
      <w:r>
        <w:rPr>
          <w:rFonts w:ascii="Kalpurush" w:cs="Kalpurush" w:eastAsia="Kalpurush" w:hAnsi="Kalpurush"/>
          <w:sz w:val="20"/>
          <w:szCs w:val="20"/>
        </w:rPr>
        <w:t xml:space="preserve"> Draft Khatian আপত্তি পর্যায়ে কেহ ভুল ধরেননি;</w:t>
      </w:r>
    </w:p>
    <w:p>
      <w:pPr>
        <w:pStyle w:val="ListParagraph"/>
        <w:numPr>
          <w:ilvl w:val="0"/>
          <w:numId w:val="1"/>
        </w:numPr>
      </w:pPr>
      <w:r>
        <w:rPr>
          <w:rFonts w:ascii="Kalpurush" w:cs="Kalpurush" w:eastAsia="Kalpurush" w:hAnsi="Kalpurush"/>
          <w:b/>
          <w:bCs/>
          <w:sz w:val="20"/>
          <w:szCs w:val="20"/>
        </w:rPr>
        <w:t xml:space="preserve">(ঙ)</w:t>
      </w:r>
      <w:r>
        <w:rPr>
          <w:rFonts w:ascii="Kalpurush" w:cs="Kalpurush" w:eastAsia="Kalpurush" w:hAnsi="Kalpurush"/>
          <w:sz w:val="20"/>
          <w:szCs w:val="20"/>
        </w:rPr>
        <w:t xml:space="preserve"> Appeal পর্যায়ে কেহ ভুল ধরেননি;</w:t>
      </w:r>
    </w:p>
    <w:p>
      <w:pPr>
        <w:pStyle w:val="ListParagraph"/>
        <w:numPr>
          <w:ilvl w:val="0"/>
          <w:numId w:val="1"/>
        </w:numPr>
      </w:pPr>
      <w:r>
        <w:rPr>
          <w:rFonts w:ascii="Kalpurush" w:cs="Kalpurush" w:eastAsia="Kalpurush" w:hAnsi="Kalpurush"/>
          <w:b/>
          <w:bCs/>
          <w:sz w:val="20"/>
          <w:szCs w:val="20"/>
        </w:rPr>
        <w:t xml:space="preserve">(চ)</w:t>
      </w:r>
      <w:r>
        <w:rPr>
          <w:rFonts w:ascii="Kalpurush" w:cs="Kalpurush" w:eastAsia="Kalpurush" w:hAnsi="Kalpurush"/>
          <w:sz w:val="20"/>
          <w:szCs w:val="20"/>
        </w:rPr>
        <w:t xml:space="preserve"> Revision পর্যায়ে কেহ ভুল ধরেননি;</w:t>
      </w:r>
    </w:p>
    <w:p>
      <w:pPr>
        <w:pStyle w:val="ListParagraph"/>
        <w:numPr>
          <w:ilvl w:val="0"/>
          <w:numId w:val="1"/>
        </w:numPr>
      </w:pPr>
      <w:r>
        <w:rPr>
          <w:rFonts w:ascii="Kalpurush" w:cs="Kalpurush" w:eastAsia="Kalpurush" w:hAnsi="Kalpurush"/>
          <w:b/>
          <w:bCs/>
          <w:sz w:val="20"/>
          <w:szCs w:val="20"/>
        </w:rPr>
        <w:t xml:space="preserve">(ছ)</w:t>
      </w:r>
      <w:r>
        <w:rPr>
          <w:rFonts w:ascii="Kalpurush" w:cs="Kalpurush" w:eastAsia="Kalpurush" w:hAnsi="Kalpurush"/>
          <w:sz w:val="20"/>
          <w:szCs w:val="20"/>
        </w:rPr>
        <w:t xml:space="preserve"> পরবর্তী ৫০ বছরের অধিক সময়েও কেহ মূল রেকর্ড সংশোধন করিতে পারেননি।</w:t>
      </w:r>
    </w:p>
    <w:p>
      <w:r>
        <w:rPr>
          <w:rFonts w:ascii="Kalpurush" w:cs="Kalpurush" w:eastAsia="Kalpurush" w:hAnsi="Kalpurush"/>
        </w:rPr>
        <w:t xml:space="preserve"/>
      </w:r>
    </w:p>
    <w:p>
      <w:r>
        <w:rPr>
          <w:rFonts w:ascii="Kalpurush" w:cs="Kalpurush" w:eastAsia="Kalpurush" w:hAnsi="Kalpurush"/>
          <w:b/>
          <w:bCs/>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Nurul Islam vs. Asst. Settlement Officer, 5 SCOB (2015) AD 89:</w:t>
      </w:r>
    </w:p>
    <w:p>
      <w:pPr>
        <w:ind w:left="720"/>
      </w:pPr>
      <w:r>
        <w:rPr>
          <w:rFonts w:ascii="Kalpurush" w:cs="Kalpurush" w:eastAsia="Kalpurush" w:hAnsi="Kalpurush"/>
          <w:i/>
          <w:iCs/>
          <w:sz w:val="20"/>
          <w:szCs w:val="20"/>
        </w:rPr>
        <w:t xml:space="preserve">*"FINAL PUBLICATION OF SA RECORD-OF-RIGHTS CARRIES FULL STATUTORY PRESUMPTION OF CORRECTNESS."*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উভয়ই আইনগতভাবে অকার্যকর।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পত্তনের তিনটি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1908-এর লঙ্ঘন:</w:t>
      </w:r>
      <w:r>
        <w:rPr>
          <w:rFonts w:ascii="Kalpurush" w:cs="Kalpurush" w:eastAsia="Kalpurush" w:hAnsi="Kalpurush"/>
          <w:sz w:val="20"/>
          <w:szCs w:val="20"/>
        </w:rPr>
        <w:t xml:space="preserve"> </w:t>
      </w:r>
    </w:p>
    <w:p>
      <w:r>
        <w:rPr>
          <w:rFonts w:ascii="Kalpurush" w:cs="Kalpurush" w:eastAsia="Kalpurush" w:hAnsi="Kalpurush"/>
          <w:sz w:val="20"/>
          <w:szCs w:val="20"/>
        </w:rPr>
        <w:t xml:space="preserve">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rPr>
        <w:t xml:space="preserve"/>
      </w:r>
    </w:p>
    <w:p>
      <w:r>
        <w:rPr>
          <w:rFonts w:ascii="Kalpurush" w:cs="Kalpurush" w:eastAsia="Kalpurush" w:hAnsi="Kalpurush"/>
          <w:b/>
          <w:bCs/>
          <w:sz w:val="20"/>
          <w:szCs w:val="20"/>
        </w:rPr>
        <w:t xml:space="preserve">দ্বিতীয়ত — অস্থায়ী প্রজাস্বত্বে বংশানুক্রমিক স্বত্ব সৃষ্টি হয় না:</w:t>
      </w:r>
      <w:r>
        <w:rPr>
          <w:rFonts w:ascii="Kalpurush" w:cs="Kalpurush" w:eastAsia="Kalpurush" w:hAnsi="Kalpurush"/>
          <w:sz w:val="20"/>
          <w:szCs w:val="20"/>
        </w:rPr>
        <w:t xml:space="preserve"> </w:t>
      </w:r>
    </w:p>
    <w:p>
      <w:r>
        <w:rPr>
          <w:rFonts w:ascii="Kalpurush" w:cs="Kalpurush" w:eastAsia="Kalpurush" w:hAnsi="Kalpurush"/>
          <w:sz w:val="20"/>
          <w:szCs w:val="20"/>
        </w:rPr>
        <w:t xml:space="preserve">হতেয়া মৌজায় নবাব এস্টেট বাৎসরিক খাজনাভিত্তিক "উঠবন্দি" (Utbandi) পদ্ধতিতে জমি দিত। এই অস্থায়ী বাৎসরিক প্রজাস্বত্ব ব্যক্তিগত ও সীমাবদ্ধ — ইহা মুসলিম ফারায়েজ আইনে স্বয়ংক্রিয়ভাবে উত্তরাধিকারে বর্তায় না। Court of Wards-এর প্রশাসনিক স্বীকৃতিতে মৃত প্রজার পর নতুন প্রজা নির্ধারিত হইত।</w:t>
      </w:r>
    </w:p>
    <w:p>
      <w:r>
        <w:rPr>
          <w:rFonts w:ascii="Kalpurush" w:cs="Kalpurush" w:eastAsia="Kalpurush" w:hAnsi="Kalpurush"/>
        </w:rPr>
        <w:t xml:space="preserve"/>
      </w:r>
    </w:p>
    <w:p>
      <w:r>
        <w:rPr>
          <w:rFonts w:ascii="Kalpurush" w:cs="Kalpurush" w:eastAsia="Kalpurush" w:hAnsi="Kalpurush"/>
          <w:b/>
          <w:bCs/>
          <w:sz w:val="20"/>
          <w:szCs w:val="20"/>
        </w:rPr>
        <w:t xml:space="preserve">তৃতীয়ত — SAT Act, 1950-এর বিধানে স্বয়ংক্রিয় বিলুপ্তি:</w:t>
      </w:r>
      <w:r>
        <w:rPr>
          <w:rFonts w:ascii="Kalpurush" w:cs="Kalpurush" w:eastAsia="Kalpurush" w:hAnsi="Kalpurush"/>
          <w:sz w:val="20"/>
          <w:szCs w:val="20"/>
        </w:rPr>
        <w:t xml:space="preserve"> </w:t>
      </w:r>
    </w:p>
    <w:p>
      <w:r>
        <w:rPr>
          <w:rFonts w:ascii="Kalpurush" w:cs="Kalpurush" w:eastAsia="Kalpurush" w:hAnsi="Kalpurush"/>
          <w:sz w:val="20"/>
          <w:szCs w:val="20"/>
        </w:rPr>
        <w:t xml:space="preserve">রাষ্ট্রীয় অধিগ্রহণের পর পূর্ববর্তী যেকোনো অনিবন্ধিত পত্তনভিত্তিক দাবি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Misc Case-এর মারাত্মক দুর্বলতা: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বিবাদীপক্ষ এমনকি উক্ত Misc Case কোন কর্তৃপক্ষের নিকট পরিচালিত হয়েছিল, তাহার সুনির্দিষ্ট এখতিয়ার বা আইনি ভিত্তিও প্রদর্শন করিতে পারেননি।</w:t>
      </w:r>
    </w:p>
    <w:p>
      <w:r>
        <w:rPr>
          <w:rFonts w:ascii="Kalpurush" w:cs="Kalpurush" w:eastAsia="Kalpurush" w:hAnsi="Kalpurush"/>
        </w:rPr>
        <w:t xml:space="preserve"/>
      </w:r>
    </w:p>
    <w:p>
      <w:r>
        <w:rPr>
          <w:rFonts w:ascii="Kalpurush" w:cs="Kalpurush" w:eastAsia="Kalpurush" w:hAnsi="Kalpurush"/>
          <w:sz w:val="20"/>
          <w:szCs w:val="20"/>
        </w:rPr>
        <w:t xml:space="preserve">যে Misc Case-এর উপর নির্ভর করিয়া একটি finally published State Record পরিবর্তনের দাবি করা হইতেছে, সেই Misc Case-এর আদেশ, নথি বা certified copy আদালতে উপস্থাপিত না হওয়ায় আদালত আদৌ জানিতে পারিতেছেন না যে উহা title matter ছিল, correction matter ছিল, না অন্য কোনো প্রশাসনিক কার্যক্রম ছিল।</w:t>
      </w:r>
    </w:p>
    <w:p>
      <w:r>
        <w:rPr>
          <w:rFonts w:ascii="Kalpurush" w:cs="Kalpurush" w:eastAsia="Kalpurush" w:hAnsi="Kalpurush"/>
        </w:rPr>
        <w:t xml:space="preserve"/>
      </w:r>
    </w:p>
    <w:p>
      <w:r>
        <w:rPr>
          <w:rFonts w:ascii="Kalpurush" w:cs="Kalpurush" w:eastAsia="Kalpurush" w:hAnsi="Kalpurush"/>
          <w:sz w:val="20"/>
          <w:szCs w:val="20"/>
        </w:rPr>
        <w:t xml:space="preserve">আইনের দৃষ্টিতে প্রশ্ন — Misc Case-এর মাধ্যমে কারো স্বত্ব নির্ধারণ করা যায় কি? উত্তর — </w:t>
      </w:r>
      <w:r>
        <w:rPr>
          <w:rFonts w:ascii="Kalpurush" w:cs="Kalpurush" w:eastAsia="Kalpurush" w:hAnsi="Kalpurush"/>
          <w:b/>
          <w:bCs/>
          <w:sz w:val="20"/>
          <w:szCs w:val="20"/>
        </w:rPr>
        <w:t xml:space="preserve">"না।"</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CPC ধারা ২(২):</w:t>
      </w:r>
      <w:r>
        <w:rPr>
          <w:rFonts w:ascii="Kalpurush" w:cs="Kalpurush" w:eastAsia="Kalpurush" w:hAnsi="Kalpurush"/>
          <w:sz w:val="20"/>
          <w:szCs w:val="20"/>
        </w:rPr>
        <w:t xml:space="preserve"> Decree কেবল আরজি দাখিলে আরম্ভিত পূর্ণাঙ্গ suit-এ হয়; Misc Case-এ হয় "Order" — Decree নহে।</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 ROR সংশোধন অসম্ভব।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Zahangir Alam vs. Ziaul Haque, 20 SCOB [2025] HCD 12:</w:t>
      </w:r>
    </w:p>
    <w:p>
      <w:pPr>
        <w:ind w:left="720"/>
      </w:pPr>
      <w:r>
        <w:rPr>
          <w:rFonts w:ascii="Kalpurush" w:cs="Kalpurush" w:eastAsia="Kalpurush" w:hAnsi="Kalpurush"/>
          <w:i/>
          <w:iCs/>
          <w:sz w:val="20"/>
          <w:szCs w:val="20"/>
        </w:rPr>
        <w:t xml:space="preserve">*"একাধিক সুপ্রিমেটিক নজির অনুযায়ী বিশেষায়িত Statutory Tribunal-ও title adjudicate করিতে পারে না; a fortiori সাধারণ Misc Case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Mainuddin Ahammed vs. Bangladesh, 7 SCOB [2016] HCD 135:</w:t>
      </w:r>
    </w:p>
    <w:p>
      <w:pPr>
        <w:ind w:left="720"/>
      </w:pPr>
      <w:r>
        <w:rPr>
          <w:rFonts w:ascii="Kalpurush" w:cs="Kalpurush" w:eastAsia="Kalpurush" w:hAnsi="Kalpurush"/>
          <w:i/>
          <w:iCs/>
          <w:sz w:val="20"/>
          <w:szCs w:val="20"/>
        </w:rPr>
        <w:t xml:space="preserve">*"Notice ও hearing ছাড়া সংগৃহীত কোনো SA Khatian সংশোধন আইনগতভাবে void ab initio।"*</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এই আপীলের উত্তরহীন চারটি প্রশ্ন:</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sz w:val="20"/>
          <w:szCs w:val="20"/>
        </w:rPr>
        <w:t xml:space="preserve">৪. কথিত সংশোধনে বেলুয়া ও কমলার নাম কেন বাদ? বিবাদীদের নিজেদের দাবি অনুযায়ীই উভয়েই ওয়ারিশ ছিলেন। </w:t>
      </w:r>
      <w:r>
        <w:rPr>
          <w:rFonts w:ascii="Kalpurush" w:cs="Kalpurush" w:eastAsia="Kalpurush" w:hAnsi="Kalpurush"/>
          <w:b/>
          <w:bCs/>
          <w:sz w:val="20"/>
          <w:szCs w:val="20"/>
        </w:rPr>
        <w:t xml:space="preserve">প্রকৃত বিচারিক আদেশ এতটা selective হইতে পারে না।</w:t>
      </w:r>
    </w:p>
    <w:p>
      <w:r>
        <w:rPr>
          <w:rFonts w:ascii="Kalpurush" w:cs="Kalpurush" w:eastAsia="Kalpurush" w:hAnsi="Kalpurush"/>
        </w:rPr>
        <w:t xml:space="preserve"/>
      </w:r>
    </w:p>
    <w:p>
      <w:r>
        <w:rPr>
          <w:rFonts w:ascii="Kalpurush" w:cs="Kalpurush" w:eastAsia="Kalpurush" w:hAnsi="Kalpurush"/>
          <w:sz w:val="20"/>
          <w:szCs w:val="20"/>
        </w:rPr>
        <w:t xml:space="preserve">বিবাদীরা এমন এক decree-এর উপর দাঁড়াইয়া আছেন — </w:t>
      </w:r>
      <w:r>
        <w:rPr>
          <w:rFonts w:ascii="Kalpurush" w:cs="Kalpurush" w:eastAsia="Kalpurush" w:hAnsi="Kalpurush"/>
          <w:b/>
          <w:bCs/>
          <w:sz w:val="20"/>
          <w:szCs w:val="20"/>
        </w:rPr>
        <w:t xml:space="preserve">যাহার কোনো কপি নাই, কোনো রেকর্ড নাই, এবং আইনগত অস্তিত্বও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Conduct Test &amp; Record Room Authority)*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প্রশ্নটির উত্তর দিলে পুরো মামলা শেষ।</w:t>
      </w:r>
    </w:p>
    <w:p>
      <w:r>
        <w:rPr>
          <w:rFonts w:ascii="Kalpurush" w:cs="Kalpurush" w:eastAsia="Kalpurush" w:hAnsi="Kalpurush"/>
        </w:rPr>
        <w:t xml:space="preserve"/>
      </w:r>
    </w:p>
    <w:p>
      <w:r>
        <w:rPr>
          <w:rFonts w:ascii="Kalpurush" w:cs="Kalpurush" w:eastAsia="Kalpurush" w:hAnsi="Kalpurush"/>
          <w:sz w:val="20"/>
          <w:szCs w:val="20"/>
        </w:rPr>
        <w:t xml:space="preserve">রেকর্ড রুমের মূল খতিয়ানে আব্দুল আলী। AC Land volume-এ ভিন্ন কালিতে সোনাভানু। দুইটি একসাথে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দুইটি Record-এর আইনি মর্যাদা:</w:t>
      </w:r>
    </w:p>
    <w:p>
      <w:r>
        <w:rPr>
          <w:rFonts w:ascii="Kalpurush" w:cs="Kalpurush" w:eastAsia="Kalpurush" w:hAnsi="Kalpurush"/>
          <w:sz w:val="20"/>
          <w:szCs w:val="20"/>
        </w:rPr>
        <w:t xml:space="preserve">SAT Act, 1950-এর ধারা ১৪৪A-এর অধীনে জেলা প্রশাসকের Settlement Record Room হইল SA রেকর্ডের </w:t>
      </w:r>
      <w:r>
        <w:rPr>
          <w:rFonts w:ascii="Kalpurush" w:cs="Kalpurush" w:eastAsia="Kalpurush" w:hAnsi="Kalpurush"/>
          <w:b/>
          <w:bCs/>
          <w:sz w:val="20"/>
          <w:szCs w:val="20"/>
        </w:rPr>
        <w:t xml:space="preserve">authoritative custodian</w:t>
      </w:r>
      <w:r>
        <w:rPr>
          <w:rFonts w:ascii="Kalpurush" w:cs="Kalpurush" w:eastAsia="Kalpurush" w:hAnsi="Kalpurush"/>
          <w:sz w:val="20"/>
          <w:szCs w:val="20"/>
        </w:rPr>
        <w:t xml:space="preserve">। AC Land অফিসের volume হইল একটি subsidiary working copy মাত্র — রাজস্ব আদায়ের সুবিধার্থে রক্ষিত। AC Land (Section 143) কোনো বিচারিক আদালত নহেন। নামজারি বা mutation কখনো স্বত্ব (Title) সৃষ্টি বা প্রমাণ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 working copy cannot override its own source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*"Volume note বা mutation-এর কোনো presumptive value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Silence of the Record Room:</w:t>
      </w:r>
    </w:p>
    <w:p>
      <w:r>
        <w:rPr>
          <w:rFonts w:ascii="Kalpurush" w:cs="Kalpurush" w:eastAsia="Kalpurush" w:hAnsi="Kalpurush"/>
          <w:sz w:val="20"/>
          <w:szCs w:val="20"/>
        </w:rPr>
        <w:t xml:space="preserve">যদি ১৯৬৯ সালে বৈধ সংশোধন সংঘটিত হইয়া থাকে, তবে তাহার সর্বপ্রথম প্রতিফলন দেখা যাওয়ার কথা ছিল Record Room-এর মূল খতিয়ানে। অথচ আজও মূল খতিয়ান অপরিবর্তিত। Authoritative Record-এর এই নীরবতা একটি Working Copy-র মার্জিন নোট অপেক্ষা বহুগুণ অধিক বিশ্বাসযোগ্য।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Missing Corrected Khatian:</w:t>
      </w:r>
    </w:p>
    <w:p>
      <w:r>
        <w:rPr>
          <w:rFonts w:ascii="Kalpurush" w:cs="Kalpurush" w:eastAsia="Kalpurush" w:hAnsi="Kalpurush"/>
          <w:sz w:val="20"/>
          <w:szCs w:val="20"/>
        </w:rPr>
        <w:t xml:space="preserve">যদি ১৯৬৯ সালে বৈধ সংশোধন হইয়া থাকে, তবে সংশোধিত খতিয়ানের certified copy কোথায়? আদালতের নিকট উপস্থাপিত প্রত্যেক SA খতিয়ানই আব্দুল আলীর নাম বহন করে। কথিত সংশোধনের অস্তিত্ব প্রমাণের সর্বোত্তম প্রমাণ হইত সংশোধিত খতিয়ান নিজেই — সেই প্রমাণের সম্পূর্ণ অনুপস্থিতি adverse inference সৃষ্টি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p>
    <w:p>
      <w:pPr>
        <w:ind w:left="720"/>
      </w:pPr>
      <w:r>
        <w:rPr>
          <w:rFonts w:ascii="Kalpurush" w:cs="Kalpurush" w:eastAsia="Kalpurush" w:hAnsi="Kalpurush"/>
          <w:i/>
          <w:iCs/>
          <w:sz w:val="20"/>
          <w:szCs w:val="20"/>
        </w:rPr>
        <w:t xml:space="preserve">*"গুরুত্বপূর্ণ প্রাতিষ্ঠানিক নথি বা মূল ফাইল দাখিল না করিলে আদালত ধরে নেবেন তাহা সেই পক্ষের বিপক্ষে যাইবে।"*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৩. রেকর্ডকৃত ১৬ আনা মালিককে নোটিশ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৪. ইউনিয়ন তহশিলদারের সরেজমিন তদন্ত</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৫. AC Land-এর স্বাক্ষরিত আইনি আদেশ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৬. District Record Room-এ সংশোধন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৭. Register of Alterations-এ এন্ট্রি</w:t>
            </w:r>
          </w:p>
        </w:tc>
        <w:tc>
          <w:p>
            <w:r>
              <w:rPr>
                <w:rFonts w:ascii="Kalpurush" w:cs="Kalpurush" w:eastAsia="Kalpurush" w:hAnsi="Kalpurush"/>
                <w:b/>
                <w:bCs/>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case file নম্বরবিহীন, notice-বিহীন, order-বিহীন </w:t>
      </w:r>
      <w:r>
        <w:rPr>
          <w:rFonts w:ascii="Kalpurush" w:cs="Kalpurush" w:eastAsia="Kalpurush" w:hAnsi="Kalpurush"/>
          <w:b/>
          <w:bCs/>
          <w:sz w:val="20"/>
          <w:szCs w:val="20"/>
        </w:rPr>
        <w:t xml:space="preserve">অনিয়মজাত মার্জিন নোট।</w:t>
      </w:r>
    </w:p>
    <w:p>
      <w:r>
        <w:rPr>
          <w:rFonts w:ascii="Kalpurush" w:cs="Kalpurush" w:eastAsia="Kalpurush" w:hAnsi="Kalpurush"/>
        </w:rPr>
        <w:t xml:space="preserve"/>
      </w:r>
    </w:p>
    <w:p>
      <w:r>
        <w:rPr>
          <w:rFonts w:ascii="Kalpurush" w:cs="Kalpurush" w:eastAsia="Kalpurush" w:hAnsi="Kalpurush"/>
          <w:b/>
          <w:bCs/>
          <w:sz w:val="20"/>
          <w:szCs w:val="20"/>
        </w:rPr>
        <w:t xml:space="preserve">DW-4 নিজেই জেরায় স্বীকার করিয়াছেন:</w:t>
      </w:r>
      <w:r>
        <w:rPr>
          <w:rFonts w:ascii="Kalpurush" w:cs="Kalpurush" w:eastAsia="Kalpurush" w:hAnsi="Kalpurush"/>
          <w:sz w:val="20"/>
          <w:szCs w:val="20"/>
        </w:rPr>
        <w:t xml:space="preserve"> *"ভিন্ন কালিতে কেন লিখা হয়েছে বলতে পারব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Conduct Test (আচরণগত পরীক্ষা):</w:t>
      </w:r>
    </w:p>
    <w:p>
      <w:pPr>
        <w:ind w:left="720"/>
      </w:pPr>
      <w:r>
        <w:rPr>
          <w:rFonts w:ascii="Kalpurush" w:cs="Kalpurush" w:eastAsia="Kalpurush" w:hAnsi="Kalpurush"/>
          <w:b/>
          <w:bCs/>
          <w:i/>
          <w:iCs/>
          <w:sz w:val="20"/>
          <w:szCs w:val="20"/>
        </w:rPr>
        <w:t xml:space="preserve">"People preserve title documents. They do not preserve stories."</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সংশোধন হইয়া থাকে, তাহলে তাহারা সংশোধিত খতিয়ান নিত, খাজনা দিত, DCR নিত, Certified Copy রাখিত। কিন্তু ৫০ বছরের বেশি সময়ে এর কিছুই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*"বিবাদীদের দ্বারা procure করা প্রশাসনিক SA record entry প্রতিষ্ঠিত স্বত্ব (established title) override করিতে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Nurul Islam vs. Charge Officer, 10 SCOB [2018] HCD 235:</w:t>
      </w:r>
    </w:p>
    <w:p>
      <w:pPr>
        <w:ind w:left="720"/>
      </w:pPr>
      <w:r>
        <w:rPr>
          <w:rFonts w:ascii="Kalpurush" w:cs="Kalpurush" w:eastAsia="Kalpurush" w:hAnsi="Kalpurush"/>
          <w:i/>
          <w:iCs/>
          <w:sz w:val="20"/>
          <w:szCs w:val="20"/>
        </w:rPr>
        <w:t xml:space="preserve">*"চূড়ান্তভাবে প্রকাশিত SA Khatian পরবর্তীতে অবৈধভাবে reopening বা alteration করা ultra vires।"*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Burden of Proof কার উপর?</w:t>
      </w:r>
    </w:p>
    <w:p>
      <w:pPr>
        <w:pStyle w:val="Heading3"/>
      </w:pPr>
      <w:r>
        <w:rPr>
          <w:rFonts w:ascii="Kalpurush" w:cs="Kalpurush" w:eastAsia="Kalpurush" w:hAnsi="Kalpurush"/>
          <w:sz w:val="20"/>
          <w:szCs w:val="20"/>
        </w:rPr>
        <w:t xml:space="preserve">*(No Competing Chain of Title)*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ও অবিচ্ছিন্ন Chain of Title প্রদর্শন করিয়াছেন:</w:t>
      </w:r>
    </w:p>
    <w:p>
      <w:r>
        <w:rPr>
          <w:rFonts w:ascii="Kalpurush" w:cs="Kalpurush" w:eastAsia="Kalpurush" w:hAnsi="Kalpurush"/>
        </w:rPr>
        <w:t xml:space="preserve"/>
      </w:r>
    </w:p>
    <w:p>
      <w:r>
        <w:rPr>
          <w:rFonts w:ascii="Kalpurush" w:cs="Kalpurush" w:eastAsia="Kalpurush" w:hAnsi="Kalpurush"/>
          <w:sz w:val="20"/>
          <w:szCs w:val="20"/>
        </w:rPr>
        <w:t xml:space="preserve">$$\text{CS Record} \longrightarrow \text{Estate Return} \longrightarrow \text{SA 238} \longrightarrow \text{Record Room Continuity} \longrightarrow \text{উত্তরাধিকার}$$</w:t>
      </w:r>
    </w:p>
    <w:p>
      <w:r>
        <w:rPr>
          <w:rFonts w:ascii="Kalpurush" w:cs="Kalpurush" w:eastAsia="Kalpurush" w:hAnsi="Kalpurush"/>
        </w:rPr>
        <w:t xml:space="preserve"/>
      </w:r>
    </w:p>
    <w:p>
      <w:r>
        <w:rPr>
          <w:rFonts w:ascii="Kalpurush" w:cs="Kalpurush" w:eastAsia="Kalpurush" w:hAnsi="Kalpurush"/>
          <w:sz w:val="20"/>
          <w:szCs w:val="20"/>
        </w:rPr>
        <w:t xml:space="preserve">অপরদিকে বিবাদীপক্ষের দাবিকৃত শৃঙ্খলে — কথিত পত্তন আছে কিন্তু মূল দলিল নাই; কথিত Misc Case আছে কিন্তু রায় নাই; কথিত সংশোধন আছে কিন্তু Parent File নাই।</w:t>
      </w:r>
    </w:p>
    <w:p>
      <w:r>
        <w:rPr>
          <w:rFonts w:ascii="Kalpurush" w:cs="Kalpurush" w:eastAsia="Kalpurush" w:hAnsi="Kalpurush"/>
        </w:rPr>
        <w:t xml:space="preserve"/>
      </w:r>
    </w:p>
    <w:p>
      <w:r>
        <w:rPr>
          <w:rFonts w:ascii="Kalpurush" w:cs="Kalpurush" w:eastAsia="Kalpurush" w:hAnsi="Kalpurush"/>
          <w:sz w:val="20"/>
          <w:szCs w:val="20"/>
        </w:rPr>
        <w:t xml:space="preserve">বিবাদীরা যদি বলে "SA রেকর্ড পরবর্তীতে সংশোধন হইয়াছে", তাহলে সেই সংশোধন প্রমাণের দায় </w:t>
      </w:r>
      <w:r>
        <w:rPr>
          <w:rFonts w:ascii="Kalpurush" w:cs="Kalpurush" w:eastAsia="Kalpurush" w:hAnsi="Kalpurush"/>
          <w:b/>
          <w:bCs/>
          <w:sz w:val="20"/>
          <w:szCs w:val="20"/>
        </w:rPr>
        <w:t xml:space="preserve">সম্পূর্ণভাবে তাহাদের।</w:t>
      </w:r>
      <w:r>
        <w:rPr>
          <w:rFonts w:ascii="Kalpurush" w:cs="Kalpurush" w:eastAsia="Kalpurush" w:hAnsi="Kalpurush"/>
          <w:sz w:val="20"/>
          <w:szCs w:val="20"/>
        </w:rPr>
        <w:t xml:space="preserve"> কিন্তু বিজ্ঞ ট্রায়াল কোর্ট উল্টো বাদীকেই বাধ্য করিয়াছেন এমন একটি সংশোধন disprove করিতে — যাহার অস্তিত্বই প্রথমে প্রমাণিত হয়নি। </w:t>
      </w:r>
      <w:r>
        <w:rPr>
          <w:rFonts w:ascii="Kalpurush" w:cs="Kalpurush" w:eastAsia="Kalpurush" w:hAnsi="Kalpurush"/>
          <w:b/>
          <w:bCs/>
          <w:sz w:val="20"/>
          <w:szCs w:val="20"/>
        </w:rPr>
        <w:t xml:space="preserve">ইহা Evidence Act-এর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103:</w:t>
      </w:r>
    </w:p>
    <w:p>
      <w:pPr>
        <w:ind w:left="720"/>
      </w:pPr>
      <w:r>
        <w:rPr>
          <w:rFonts w:ascii="Kalpurush" w:cs="Kalpurush" w:eastAsia="Kalpurush" w:hAnsi="Kalpurush"/>
          <w:i/>
          <w:iCs/>
          <w:sz w:val="20"/>
          <w:szCs w:val="20"/>
        </w:rPr>
        <w:t xml:space="preserve">*"বিশেষ তথ্যের অস্তিত্ব প্রমাণের দায় সেই ব্যক্তির, যিনি আদালতকে তাহা বিশ্বাস করাইতে চান।"*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sometimes confuses 'plaintiff must prove' with 'plaintiff must disprove every counter-assertion'. This is erroneous."*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নথিপত্র ছাড়া স্বত্ববান বা মালিক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Hayetullah vs. Abdul Khaleque, 10 SCOB [2018] HCD 309 (Para 22):</w:t>
      </w:r>
    </w:p>
    <w:p>
      <w:pPr>
        <w:ind w:left="720"/>
      </w:pPr>
      <w:r>
        <w:rPr>
          <w:rFonts w:ascii="Kalpurush" w:cs="Kalpurush" w:eastAsia="Kalpurush" w:hAnsi="Kalpurush"/>
          <w:i/>
          <w:iCs/>
          <w:sz w:val="20"/>
          <w:szCs w:val="20"/>
        </w:rPr>
        <w:t xml:space="preserve">*"SA Khatian-সমর্থিত বাদীর সুনির্দিষ্ট দাবি, বিবাদীদের উপযুক্ত প্রমাণের অভাবে, আদালতে জয়যুক্ত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4(ক)</w:t>
      </w:r>
    </w:p>
    <w:p>
      <w:pPr>
        <w:pStyle w:val="Heading2"/>
      </w:pPr>
      <w:r>
        <w:rPr>
          <w:rFonts w:ascii="Kalpurush" w:cs="Kalpurush" w:eastAsia="Kalpurush" w:hAnsi="Kalpurush"/>
          <w:sz w:val="20"/>
          <w:szCs w:val="20"/>
        </w:rPr>
        <w:t xml:space="preserve">Title-Displacing দাবিতে সর্বোচ্চ মানের প্রমাণ আবশ্যক</w:t>
      </w:r>
    </w:p>
    <w:p>
      <w:pPr>
        <w:pStyle w:val="Heading3"/>
      </w:pPr>
      <w:r>
        <w:rPr>
          <w:rFonts w:ascii="Kalpurush" w:cs="Kalpurush" w:eastAsia="Kalpurush" w:hAnsi="Kalpurush"/>
          <w:sz w:val="20"/>
          <w:szCs w:val="20"/>
        </w:rPr>
        <w:t xml:space="preserve">*(The Evidentiary Standard Error &amp; The Blocked Heirs)*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দাবিটি কোনো সাধারণ নাম-বানানের ভুল সংশোধন নহে। তাহারা দাবি করিতেছেন যে একটি চূড়ান্তভাবে প্রকাশিত রাষ্ট্র-স্বীকৃত SA খতিয়ানে লিপিত একজন ব্যক্তির সম্পূর্ণ ১৬ আনা স্বত্ব কাটিয়া অন্যজনকে দেওয়া হইয়াছে। ইহা </w:t>
      </w:r>
      <w:r>
        <w:rPr>
          <w:rFonts w:ascii="Kalpurush" w:cs="Kalpurush" w:eastAsia="Kalpurush" w:hAnsi="Kalpurush"/>
          <w:b/>
          <w:bCs/>
          <w:sz w:val="20"/>
          <w:szCs w:val="20"/>
        </w:rPr>
        <w:t xml:space="preserve">adversarial title displacement</w:t>
      </w:r>
      <w:r>
        <w:rPr>
          <w:rFonts w:ascii="Kalpurush" w:cs="Kalpurush" w:eastAsia="Kalpurush" w:hAnsi="Kalpurush"/>
          <w:sz w:val="20"/>
          <w:szCs w:val="20"/>
        </w:rPr>
        <w:t xml:space="preserve"> — সর্বোচ্চ মাত্রার দাবি যাহার জন্য আইন সর্বোচ্চ মানের আইনি প্রমাণ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একটি অপ্রমাণিত Misc Case-এর মৌখিক দাবি এবং একটি ব্যাখ্যাহীন volume note-এর উপর ভিত্তি করিয়া — কোনো রায়, ডিক্রি বা Register of Alterations Entry ছাড়াই — এই সর্বোচ্চ মাত্রার দাবিকে গ্রহণ করিয়াছেন। </w:t>
      </w:r>
      <w:r>
        <w:rPr>
          <w:rFonts w:ascii="Kalpurush" w:cs="Kalpurush" w:eastAsia="Kalpurush" w:hAnsi="Kalpurush"/>
          <w:b/>
          <w:bCs/>
          <w:sz w:val="20"/>
          <w:szCs w:val="20"/>
        </w:rPr>
        <w:t xml:space="preserve">ইহা আইনের মৌলিক evidentiary standard-এর সরাসরি লঙ্ঘন।</w:t>
      </w:r>
    </w:p>
    <w:p>
      <w:r>
        <w:rPr>
          <w:rFonts w:ascii="Kalpurush" w:cs="Kalpurush" w:eastAsia="Kalpurush" w:hAnsi="Kalpurush"/>
        </w:rPr>
        <w:t xml:space="preserve"/>
      </w:r>
    </w:p>
    <w:p>
      <w:r>
        <w:rPr>
          <w:rFonts w:ascii="Kalpurush" w:cs="Kalpurush" w:eastAsia="Kalpurush" w:hAnsi="Kalpurush"/>
          <w:sz w:val="20"/>
          <w:szCs w:val="20"/>
        </w:rPr>
        <w:t xml:space="preserve">এই ভুলের পরিণতি আরও গুরুতর — আপীল্যান্ট বাদীপক্ষ এবং সোলেনামাকারী ১নং রেসপন্ডেন্ট সোলায়মান হোসেন — উভয়েই আব্দুল আলীর বৈধ উত্তরাধিকারী এবং উভয়েই বাটোয়ারায় সম্মত (CPC Order XXIII Rule 3)। একটি তৃতীয় পক্ষের অপ্রমাণিত দাবির কারণে আব্দুল আলীর নিজের উত্তরসূরিদের বন্টন অনির্দিষ্টকালের জন্য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w:t>
      </w:r>
    </w:p>
    <w:p>
      <w:pPr>
        <w:ind w:left="720"/>
      </w:pPr>
      <w:r>
        <w:rPr>
          <w:rFonts w:ascii="Kalpurush" w:cs="Kalpurush" w:eastAsia="Kalpurush" w:hAnsi="Kalpurush"/>
          <w:i/>
          <w:iCs/>
          <w:sz w:val="20"/>
          <w:szCs w:val="20"/>
        </w:rPr>
        <w:t xml:space="preserve">*"বিবাদীদের দ্বারা procure করা বেআইনি রেকর্ড এন্ট্রি প্রকৃত স্বত্বাধিকারীদের বাটোয়ারা ও ভোগদখল আটকাইয়া রাখিতে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Sree Mridul Chowdhury, 23 BLD (AD) 83:</w:t>
      </w:r>
    </w:p>
    <w:p>
      <w:pPr>
        <w:ind w:left="720"/>
      </w:pPr>
      <w:r>
        <w:rPr>
          <w:rFonts w:ascii="Kalpurush" w:cs="Kalpurush" w:eastAsia="Kalpurush" w:hAnsi="Kalpurush"/>
          <w:i/>
          <w:iCs/>
          <w:sz w:val="20"/>
          <w:szCs w:val="20"/>
        </w:rPr>
        <w:t xml:space="preserve">*"Civil courts' jurisdiction cannot be made dependent on the mercy of a dishonest or reckless defendant."*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 বাদীপক্ষ এবং ১নং রেসপন্ডেন্ট সোলায়মান হোসেন — উভয়েই আব্দুল আলীর প্রমাণিত ও স্বীকৃত উত্তরাধিকারী। তাহাদের মধ্যে কোনো বিরোধ নাই। ১নং রেসপন্ডেন্ট আদালতে সোলেনামা দাখিল করিয়াছেন (CPC Order XXIII Rule 3) — যাহা ট্রায়াল কোর্ট সম্পূর্ণ উপেক্ষা করিয়াছেন।</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বিবাদীরা — Saham চাননি, Allotment চাননি, Share Calculation দেননি। তাহাদের একমাত্র প্রার্থনা — মামলা খারিজ। </w:t>
      </w:r>
      <w:r>
        <w:rPr>
          <w:rFonts w:ascii="Kalpurush" w:cs="Kalpurush" w:eastAsia="Kalpurush" w:hAnsi="Kalpurush"/>
          <w:b/>
          <w:bCs/>
          <w:sz w:val="20"/>
          <w:szCs w:val="20"/>
        </w:rPr>
        <w:t xml:space="preserve">উদ্দেশ্য বন্টন নহে, বন্টন বন্ধ রাখা।</w:t>
      </w:r>
      <w:r>
        <w:rPr>
          <w:rFonts w:ascii="Kalpurush" w:cs="Kalpurush" w:eastAsia="Kalpurush" w:hAnsi="Kalpurush"/>
          <w:sz w:val="20"/>
          <w:szCs w:val="20"/>
        </w:rPr>
        <w:t xml:space="preserve"> প্রকৃত সহ-অংশীদার নিজের অংশ দাবি করে — সমগ্র বন্টন বানচাল করে না।</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রায়ে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এরপর সামান্য পদ্ধতিগত অজুহাতে মামলা খারিজ করা সম্পূর্ণ অসঙ্গত।</w:t>
      </w:r>
    </w:p>
    <w:p>
      <w:r>
        <w:rPr>
          <w:rFonts w:ascii="Kalpurush" w:cs="Kalpurush" w:eastAsia="Kalpurush" w:hAnsi="Kalpurush"/>
        </w:rPr>
        <w:t xml:space="preserve"/>
      </w:r>
    </w:p>
    <w:p>
      <w:r>
        <w:rPr>
          <w:rFonts w:ascii="Kalpurush" w:cs="Kalpurush" w:eastAsia="Kalpurush" w:hAnsi="Kalpurush"/>
          <w:b/>
          <w:bCs/>
          <w:sz w:val="20"/>
          <w:szCs w:val="20"/>
        </w:rPr>
        <w:t xml:space="preserve">Hotchpot ও Non-joinder (সমর্থনকারী পয়েন্ট):</w:t>
      </w:r>
      <w:r>
        <w:rPr>
          <w:rFonts w:ascii="Kalpurush" w:cs="Kalpurush" w:eastAsia="Kalpurush" w:hAnsi="Kalpurush"/>
          <w:sz w:val="20"/>
          <w:szCs w:val="20"/>
        </w:rPr>
        <w:t xml:space="preserve"> </w:t>
      </w:r>
    </w:p>
    <w:p>
      <w:r>
        <w:rPr>
          <w:rFonts w:ascii="Kalpurush" w:cs="Kalpurush" w:eastAsia="Kalpurush" w:hAnsi="Kalpurush"/>
          <w:sz w:val="20"/>
          <w:szCs w:val="20"/>
        </w:rPr>
        <w:t xml:space="preserve">পৃথক খতিয়ানে একই দাগ থাকিলে সমগ্র দাগ Hotchpot-এ আনা বাধ্যতামূলক নহে (*Shahjahan Akon vs. Murshida Khanam, 27 BLD (HD) 229*)। সরকারি খাস জমি ব্যক্তিগত বাটোয়ারায় আনিলে বরঞ্চ মামলাই চলিত না (*11 MLR (AD) 115; 6 SCOB (2016) AD 11*)। সরকার এই ব্যক্তিগত বাটোয়ারা মামলায় Necessary Party নহে (*Safaruddin vs. Fazlul Huq, 49 DLR (AD) 15; 8 SCOB (2016) HCD 1*)। পক্ষদোষ একটি সহজেই দূরযোগ্য ত্রুটি (Curable Defect) (*15 SCOB (2021) HCD 145*)।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বিবাদীদের বর্তমান মামলা মূলত AC Land Volume Note-এর উপর প্রতিষ্ঠিত — যেখানে দেখানো হইয়াছে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তাহাদের নিজেদের ৩৫৯৬/১৯৭৫ নং দলিলের তফসিলে (Exhibit Kha-1)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আদালতের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 (১২৫৯ দাগ)</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r>
        <w:tc>
          <w:p>
            <w:r>
              <w:rPr>
                <w:rFonts w:ascii="Kalpurush" w:cs="Kalpurush" w:eastAsia="Kalpurush" w:hAnsi="Kalpurush"/>
                <w:sz w:val="20"/>
                <w:szCs w:val="20"/>
              </w:rPr>
              <w:t xml:space="preserve">AC Land Volume Entry-র উপর নির্ভরশীল</w:t>
            </w:r>
          </w:p>
        </w:tc>
        <w:tc>
          <w:p>
            <w:r>
              <w:rPr>
                <w:rFonts w:ascii="Kalpurush" w:cs="Kalpurush" w:eastAsia="Kalpurush" w:hAnsi="Kalpurush"/>
                <w:sz w:val="20"/>
                <w:szCs w:val="20"/>
              </w:rPr>
              <w:t xml:space="preserve">AC Land Volume Entry-র সাথেই সরাসরি সাংঘর্ষিক</w:t>
            </w:r>
          </w:p>
        </w:tc>
      </w:tr>
    </w:tbl>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1975 deed is not merely inconsistent with the volume entry; it is destructive of the volume entry."</w:t>
      </w:r>
    </w:p>
    <w:p>
      <w:r>
        <w:rPr>
          <w:rFonts w:ascii="Kalpurush" w:cs="Kalpurush" w:eastAsia="Kalpurush" w:hAnsi="Kalpurush"/>
        </w:rPr>
        <w:t xml:space="preserve"/>
      </w:r>
    </w:p>
    <w:p>
      <w:r>
        <w:rPr>
          <w:rFonts w:ascii="Kalpurush" w:cs="Kalpurush" w:eastAsia="Kalpurush" w:hAnsi="Kalpurush"/>
          <w:sz w:val="20"/>
          <w:szCs w:val="20"/>
        </w:rPr>
        <w:t xml:space="preserve">বিবাদীরা নিজেরাও ১৯৭৫ সালে ১৯৬৯ সালের কথিত সংশোধনকে বাস্তবে অনুসরণ করেননি। ইহা </w:t>
      </w:r>
      <w:r>
        <w:rPr>
          <w:rFonts w:ascii="Kalpurush" w:cs="Kalpurush" w:eastAsia="Kalpurush" w:hAnsi="Kalpurush"/>
          <w:b/>
          <w:bCs/>
          <w:sz w:val="20"/>
          <w:szCs w:val="20"/>
        </w:rPr>
        <w:t xml:space="preserve">"subsequent conduct inconsistent with alleged correction"</w:t>
      </w:r>
      <w:r>
        <w:rPr>
          <w:rFonts w:ascii="Kalpurush" w:cs="Kalpurush" w:eastAsia="Kalpurush" w:hAnsi="Kalpurush"/>
          <w:sz w:val="20"/>
          <w:szCs w:val="20"/>
        </w:rPr>
        <w:t xml:space="preserve"> — কথিত সংশোধনের সাথে পরবর্তী আচরণের সুস্পষ্ট সংঘাত। </w:t>
      </w:r>
      <w:r>
        <w:rPr>
          <w:rFonts w:ascii="Kalpurush" w:cs="Kalpurush" w:eastAsia="Kalpurush" w:hAnsi="Kalpurush"/>
          <w:b/>
          <w:bCs/>
          <w:sz w:val="20"/>
          <w:szCs w:val="20"/>
        </w:rPr>
        <w:t xml:space="preserve">উভয় গল্প একসাথে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আরও দুইটি সমর্থনকারী বিচারিক অসঙ্গতি:</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নামের অসঙ্গতি:</w:t>
      </w:r>
      <w:r>
        <w:rPr>
          <w:rFonts w:ascii="Kalpurush" w:cs="Kalpurush" w:eastAsia="Kalpurush" w:hAnsi="Kalpurush"/>
          <w:sz w:val="20"/>
          <w:szCs w:val="20"/>
        </w:rPr>
        <w:t xml:space="preserve"> আরজিতে বেলুয়ার স্বামীর নাম </w:t>
      </w:r>
      <w:r>
        <w:rPr>
          <w:rFonts w:ascii="Kalpurush" w:cs="Kalpurush" w:eastAsia="Kalpurush" w:hAnsi="Kalpurush"/>
          <w:b/>
          <w:bCs/>
          <w:sz w:val="20"/>
          <w:szCs w:val="20"/>
        </w:rPr>
        <w:t xml:space="preserve">"আব্দুল কদ্দুস"</w:t>
      </w:r>
      <w:r>
        <w:rPr>
          <w:rFonts w:ascii="Kalpurush" w:cs="Kalpurush" w:eastAsia="Kalpurush" w:hAnsi="Kalpurush"/>
          <w:sz w:val="20"/>
          <w:szCs w:val="20"/>
        </w:rPr>
        <w:t xml:space="preserve">, কিন্তু ১৯৭৫ সালের দলিলে </w:t>
      </w:r>
      <w:r>
        <w:rPr>
          <w:rFonts w:ascii="Kalpurush" w:cs="Kalpurush" w:eastAsia="Kalpurush" w:hAnsi="Kalpurush"/>
          <w:b/>
          <w:bCs/>
          <w:sz w:val="20"/>
          <w:szCs w:val="20"/>
        </w:rPr>
        <w:t xml:space="preserve">"সোবান"</w:t>
      </w:r>
      <w:r>
        <w:rPr>
          <w:rFonts w:ascii="Kalpurush" w:cs="Kalpurush" w:eastAsia="Kalpurush" w:hAnsi="Kalpurush"/>
          <w:sz w:val="20"/>
          <w:szCs w:val="20"/>
        </w:rPr>
        <w:t xml:space="preserve">। বিবাদীরা বিচারিক সমক্ষে এই অসঙ্গতির কোনো ব্যাখ্যা দেননি।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গাণিতিক অসম্ভাবতা:</w:t>
      </w:r>
      <w:r>
        <w:rPr>
          <w:rFonts w:ascii="Kalpurush" w:cs="Kalpurush" w:eastAsia="Kalpurush" w:hAnsi="Kalpurush"/>
          <w:sz w:val="20"/>
          <w:szCs w:val="20"/>
        </w:rPr>
        <w:t xml:space="preserve"> বিবাদীদের দাবি ৩৪৯ শতাংশ + সরকারি ১৩৭ শতাংশ = ৪৮৬ শতাংশ। কিন্তু দাগের মোট জমি মাত্র ৪৭৭ শতাংশ। </w:t>
      </w:r>
      <w:r>
        <w:rPr>
          <w:rFonts w:ascii="Kalpurush" w:cs="Kalpurush" w:eastAsia="Kalpurush" w:hAnsi="Kalpurush"/>
          <w:b/>
          <w:bCs/>
          <w:sz w:val="20"/>
          <w:szCs w:val="20"/>
        </w:rPr>
        <w:t xml:space="preserve">স্বত্ব নিয়ে বিতর্ক থাকিতে পারে — গণিত নিয়ে থাকিতে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p>
    <w:p>
      <w:pPr>
        <w:ind w:left="720"/>
      </w:pPr>
      <w:r>
        <w:rPr>
          <w:rFonts w:ascii="Kalpurush" w:cs="Kalpurush" w:eastAsia="Kalpurush" w:hAnsi="Kalpurush"/>
          <w:i/>
          <w:iCs/>
          <w:sz w:val="20"/>
          <w:szCs w:val="20"/>
        </w:rPr>
        <w:t xml:space="preserve">*"নিজস্ব দলিলের সুনির্দিষ্ট অসামঞ্জস্য ব্যাখ্যা করিতে ব্যর্থ হইলে আদালত বিচারিক সিদ্ধান্ত তাহাদের বিপক্ষে গ্রহণ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115 (Estoppel):</w:t>
      </w:r>
    </w:p>
    <w:p>
      <w:pPr>
        <w:ind w:left="720"/>
      </w:pPr>
      <w:r>
        <w:rPr>
          <w:rFonts w:ascii="Kalpurush" w:cs="Kalpurush" w:eastAsia="Kalpurush" w:hAnsi="Kalpurush"/>
          <w:i/>
          <w:iCs/>
          <w:sz w:val="20"/>
          <w:szCs w:val="20"/>
        </w:rPr>
        <w:t xml:space="preserve">*"নিজেদের রেজিস্ট্রিকৃত দলিলে ৬ দাগ স্বীকার করিয়া পরবর্তীতে আদালতে ১ দাগের কাল্পনিক দাবি তোলা আইনত বারিত।"*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ট্রায়াল কোর্টের রায়ে চারটি কাঠামোগত ভুল</w:t>
      </w:r>
    </w:p>
    <w:p>
      <w:pPr>
        <w:pStyle w:val="Heading3"/>
      </w:pPr>
      <w:r>
        <w:rPr>
          <w:rFonts w:ascii="Kalpurush" w:cs="Kalpurush" w:eastAsia="Kalpurush" w:hAnsi="Kalpurush"/>
          <w:sz w:val="20"/>
          <w:szCs w:val="20"/>
        </w:rPr>
        <w:t xml:space="preserve">*(Appellate Review Standards)*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 আদালতের অন্যতম প্রধান সংবিধিবদ্ধ দায়িত্ব হইল বিচারিক আদালতের Error of Law চিহ্নিত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1: Working Copy-কে Original Record-এর উপরে স্থান দেওয়া</w:t>
      </w:r>
    </w:p>
    <w:p>
      <w:r>
        <w:rPr>
          <w:rFonts w:ascii="Kalpurush" w:cs="Kalpurush" w:eastAsia="Kalpurush" w:hAnsi="Kalpurush"/>
          <w:sz w:val="20"/>
          <w:szCs w:val="20"/>
        </w:rPr>
        <w:t xml:space="preserve">বিবাদীপক্ষের সম্পূর্ণ প্রতিরক্ষা Misc Case 1181/1969-এর উপর প্রতিষ্ঠিত। কিন্তু Judgment, Order, Decree, Case Record, Certified Copy, Correction Proceeding, Register of Alteration Entry — কোনোটিই দাখিল হয়নি। তবুও বিজ্ঞ ট্রায়াল কোর্ট মূল সংবিধিবদ্ধ রেকর্ড (SA 238) অপেক্ষা একটি অপ্রমাণিত ঘটনার উপর ভিত্তিহীন নির্ভরতা প্রদর্শন করিয়াছেন।</w:t>
      </w:r>
    </w:p>
    <w:p>
      <w:r>
        <w:rPr>
          <w:rFonts w:ascii="Kalpurush" w:cs="Kalpurush" w:eastAsia="Kalpurush" w:hAnsi="Kalpurush"/>
        </w:rPr>
        <w:t xml:space="preserve"/>
      </w:r>
    </w:p>
    <w:p>
      <w:r>
        <w:rPr>
          <w:rFonts w:ascii="Kalpurush" w:cs="Kalpurush" w:eastAsia="Kalpurush" w:hAnsi="Kalpurush"/>
          <w:sz w:val="20"/>
          <w:szCs w:val="20"/>
        </w:rPr>
        <w:t xml:space="preserve">*When primary evidence is available, courts cannot prefer unproved secondary assertions over an existing public record.*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2: Record Room Question-এর উত্তর না দেওয়া</w:t>
      </w:r>
    </w:p>
    <w:p>
      <w:r>
        <w:rPr>
          <w:rFonts w:ascii="Kalpurush" w:cs="Kalpurush" w:eastAsia="Kalpurush" w:hAnsi="Kalpurush"/>
          <w:sz w:val="20"/>
          <w:szCs w:val="20"/>
        </w:rPr>
        <w:t xml:space="preserve">"সংশোধন যদি সত্য হয়, তবে মূল খতিয়ান অপরিবর্তিত কেন? Settlement Record Room-এ কোনো সংশোধন নাই কেন? Alteration Register-এ কোনো Entry নাই কেন?" — এই কেন্দ্রীয় প্রাতিষ্ঠানিক প্রশ্নগুলোর উত্তর ব্যতিরেকে সংশোধন সত্য ধরিয়া নেওয়া </w:t>
      </w:r>
      <w:r>
        <w:rPr>
          <w:rFonts w:ascii="Kalpurush" w:cs="Kalpurush" w:eastAsia="Kalpurush" w:hAnsi="Kalpurush"/>
          <w:b/>
          <w:bCs/>
          <w:sz w:val="20"/>
          <w:szCs w:val="20"/>
        </w:rPr>
        <w:t xml:space="preserve">speculative finding</w:t>
      </w:r>
      <w:r>
        <w:rPr>
          <w:rFonts w:ascii="Kalpurush" w:cs="Kalpurush" w:eastAsia="Kalpurush" w:hAnsi="Kalpurush"/>
          <w:sz w:val="20"/>
          <w:szCs w:val="20"/>
        </w:rPr>
        <w:t xml:space="preserve"> মাত্র।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3: বিবাদীদের নিজের Admission (১৯৭৫ দলিল) বিবেচনায় না নেওয়া</w:t>
      </w:r>
    </w:p>
    <w:p>
      <w:r>
        <w:rPr>
          <w:rFonts w:ascii="Kalpurush" w:cs="Kalpurush" w:eastAsia="Kalpurush" w:hAnsi="Kalpurush"/>
          <w:sz w:val="20"/>
          <w:szCs w:val="20"/>
        </w:rPr>
        <w:t xml:space="preserve">৩৫৯৬/১৯৭৫ নং দলিলে সোনাভানুর স্বত্ব ৬ দাগে বর্ণিত — অথচ বর্তমান মামলায় বলা হইতেছে ১৯৬৯ সালেই তাহার স্বত্ব ১ দাগে সীমাবদ্ধ। বিজ্ঞ ট্রায়াল কোর্ট এই মৌলিক স্ববিরোধিতা ও Admission লইয়া কোনো আলোচনা করেননি। </w:t>
      </w:r>
      <w:r>
        <w:rPr>
          <w:rFonts w:ascii="Kalpurush" w:cs="Kalpurush" w:eastAsia="Kalpurush" w:hAnsi="Kalpurush"/>
          <w:b/>
          <w:bCs/>
          <w:sz w:val="20"/>
          <w:szCs w:val="20"/>
        </w:rPr>
        <w:t xml:space="preserve">ফলে রায়টি material evidence non-consideration দ্বারা আক্রান্ত।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4: Burden of Proof-এর উল্টো প্রয়োগ ও গাণিতিক অসম্ভাবতা উপেক্ষা</w:t>
      </w:r>
    </w:p>
    <w:p>
      <w:r>
        <w:rPr>
          <w:rFonts w:ascii="Kalpurush" w:cs="Kalpurush" w:eastAsia="Kalpurush" w:hAnsi="Kalpurush"/>
          <w:sz w:val="20"/>
          <w:szCs w:val="20"/>
        </w:rPr>
        <w:t xml:space="preserve">বাদীপক্ষকে বাধ্য করা হইয়াছে এমন একটি অপ্রমাণিত Misc Case disprove করিতে, যাহার প্রমাণের দায়িত্ব সম্পূর্ণ বিবাদীদের ছিল। এবং ৪৭৭ শতাংশের দাগে ৪৮৬ শতাংশ দাবির গাণিতিক অসম্ভবতাকেও বিজ্ঞ বিচারক সম্পূর্ণ এড়াইয়া গেছেন।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আদালতকে দুইটি সুনির্দিষ্ট বিচারিক পথের মধ্যে একটি বেছে লইতে হইবে:</w:t>
      </w:r>
    </w:p>
    <w:p>
      <w:r>
        <w:rPr>
          <w:rFonts w:ascii="Kalpurush" w:cs="Kalpurush" w:eastAsia="Kalpurush" w:hAnsi="Kalpurush"/>
        </w:rPr>
        <w:t xml:space="preserve"/>
      </w:r>
    </w:p>
    <w:p>
      <w:r>
        <w:rPr>
          <w:rFonts w:ascii="Kalpurush" w:cs="Kalpurush" w:eastAsia="Kalpurush" w:hAnsi="Kalpurush"/>
          <w:b/>
          <w:bCs/>
          <w:sz w:val="20"/>
          <w:szCs w:val="20"/>
        </w:rPr>
        <w:t xml:space="preserve">প্রথম পথ —</w:t>
      </w:r>
      <w:r>
        <w:rPr>
          <w:rFonts w:ascii="Kalpurush" w:cs="Kalpurush" w:eastAsia="Kalpurush" w:hAnsi="Kalpurush"/>
          <w:sz w:val="20"/>
          <w:szCs w:val="20"/>
        </w:rPr>
        <w:t xml:space="preserve"> রাষ্ট্র কর্তৃক প্রস্তুত ও আজও জেলা রেকর্ড রুমে অপরিবর্তিত SA ২৩৮ নং খতিয়ান, নবাব এস্টেটের খাজনা রসিদ, ১৯৫৭ সালের রেজিস্ট্রিকৃত দলিল এবং Record Room-এর মূল সংবিধিবদ্ধ রেকর্ড।</w:t>
      </w:r>
    </w:p>
    <w:p>
      <w:r>
        <w:rPr>
          <w:rFonts w:ascii="Kalpurush" w:cs="Kalpurush" w:eastAsia="Kalpurush" w:hAnsi="Kalpurush"/>
        </w:rPr>
        <w:t xml:space="preserve"/>
      </w:r>
    </w:p>
    <w:p>
      <w:r>
        <w:rPr>
          <w:rFonts w:ascii="Kalpurush" w:cs="Kalpurush" w:eastAsia="Kalpurush" w:hAnsi="Kalpurush"/>
          <w:b/>
          <w:bCs/>
          <w:sz w:val="20"/>
          <w:szCs w:val="20"/>
        </w:rPr>
        <w:t xml:space="preserve">দ্বিতীয় পথ —</w:t>
      </w:r>
      <w:r>
        <w:rPr>
          <w:rFonts w:ascii="Kalpurush" w:cs="Kalpurush" w:eastAsia="Kalpurush" w:hAnsi="Kalpurush"/>
          <w:sz w:val="20"/>
          <w:szCs w:val="20"/>
        </w:rPr>
        <w:t xml:space="preserve"> একটি অপ্রমাণিত Misc Case, একটি case number-বিহীন ও order-বিহীন volume note, এবং বিবাদীদের নিজেদের ১৯৭৫ সালের দলিল দ্বারা খণ্ডিত কাল্পনিক প্রতিরক্ষা।</w:t>
      </w:r>
    </w:p>
    <w:p>
      <w:r>
        <w:rPr>
          <w:rFonts w:ascii="Kalpurush" w:cs="Kalpurush" w:eastAsia="Kalpurush" w:hAnsi="Kalpurush"/>
        </w:rPr>
        <w:t xml:space="preserve"/>
      </w:r>
    </w:p>
    <w:p>
      <w:r>
        <w:rPr>
          <w:rFonts w:ascii="Kalpurush" w:cs="Kalpurush" w:eastAsia="Kalpurush" w:hAnsi="Kalpurush"/>
          <w:b/>
          <w:bCs/>
          <w:sz w:val="20"/>
          <w:szCs w:val="20"/>
        </w:rPr>
        <w:t xml:space="preserve">পক্ষান্তরে বিবাদীপক্ষকে জিতাইতে হইলে আদালতকে বিশ্বাস করিতে হইবে যে —</w:t>
      </w:r>
      <w:r>
        <w:rPr>
          <w:rFonts w:ascii="Kalpurush" w:cs="Kalpurush" w:eastAsia="Kalpurush" w:hAnsi="Kalpurush"/>
          <w:sz w:val="20"/>
          <w:szCs w:val="20"/>
        </w:rPr>
        <w:t xml:space="preserve"> নবাব এস্টেট ভুল করিয়াছে, রিটার্ন ভুল, জরিপ ভুল, আপত্তি ভুল, আপীল ভুল, রিভিশন ভুল, এবং ৫০ বছর পরেও সেই ভুলের কোনো বৈধ সংশোধনের রেকর্ড নাই।</w:t>
      </w:r>
    </w:p>
    <w:p>
      <w:r>
        <w:rPr>
          <w:rFonts w:ascii="Kalpurush" w:cs="Kalpurush" w:eastAsia="Kalpurush" w:hAnsi="Kalpurush"/>
        </w:rPr>
        <w:t xml:space="preserve"/>
      </w:r>
    </w:p>
    <w:p>
      <w:r>
        <w:rPr>
          <w:rFonts w:ascii="Kalpurush" w:cs="Kalpurush" w:eastAsia="Kalpurush" w:hAnsi="Kalpurush"/>
          <w:b/>
          <w:bCs/>
          <w:sz w:val="20"/>
          <w:szCs w:val="20"/>
        </w:rPr>
        <w:t xml:space="preserve">আইন সম্ভাব্যতাকে গ্রহণ করে, অসম্ভাব্যতাকে নয়।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০৫-০৪-২০২৬ তারিখের রায় ও ০৯-০৪-২০২৬ তারিখের ডিক্রি রহিত করিয়া আপীল মঞ্জুর ও বাদীদের পক্ষে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b/>
          <w:bCs/>
          <w:sz w:val="20"/>
          <w:szCs w:val="20"/>
        </w:rPr>
        <w:t xml:space="preserve">মূল প্রার্থনা:</w:t>
      </w:r>
      <w:r>
        <w:rPr>
          <w:rFonts w:ascii="Kalpurush" w:cs="Kalpurush" w:eastAsia="Kalpurush" w:hAnsi="Kalpurush"/>
          <w:sz w:val="20"/>
          <w:szCs w:val="20"/>
        </w:rPr>
        <w:t xml:space="preserve"> সখিপুর সিভিল জজ আদালতের ০৫/০৪/২০২৬ তারিখের রায় ও ০৯/০৪/২০২৬ তারিখের ডিক্রি বাতিল করিয়া SA ২৩৮ নং খতিয়ান অনুযায়ী বাদীপক্ষ ও ১নং রেসপন্ডেন্টের অনুকূলে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বিকল্প প্রার্থনা:</w:t>
      </w:r>
      <w:r>
        <w:rPr>
          <w:rFonts w:ascii="Kalpurush" w:cs="Kalpurush" w:eastAsia="Kalpurush" w:hAnsi="Kalpurush"/>
          <w:sz w:val="20"/>
          <w:szCs w:val="20"/>
        </w:rPr>
        <w:t xml:space="preserve"> একজন Advocate Commissioner নিয়োগ করিয়া সরকারের খাস জমিতে হস্তক্ষেপ না করিয়া কেবল SA ২৩৮ নং খতিয়ানের স্বত্বানুযায়ী নালিশী সম্পত্তিতে বাদীদের অংশ সরেজমিনে বাটোয়ারা সম্পন্ন করিবার আদেশ দেওয়া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সুপ্রিমেটিক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(সর্বোচ্চ অগ্রাধিকার):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মূল আইনি বিষয়বস্তু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SA খতিয়ানের অখণ্ডনীয়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ছাড়া সংগৃহীত SA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দুর্বলতায় বিবাদী স্বত্ববান হইতে পারে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মূল আইনি বিষয়বস্তু</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229; 11 MLR (AD) 115</w:t>
            </w:r>
          </w:p>
        </w:tc>
        <w:tc>
          <w:p>
            <w:r>
              <w:rPr>
                <w:rFonts w:ascii="Kalpurush" w:cs="Kalpurush" w:eastAsia="Kalpurush" w:hAnsi="Kalpurush"/>
                <w:sz w:val="20"/>
                <w:szCs w:val="20"/>
              </w:rPr>
              <w:t xml:space="preserve">Hotchpot — পৃথক খতিয়ানের আংশিক বাটোয়ারা বৈধ</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জমি বাটোয়ারায় আনিলে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ইচ্ছায় civil court-এর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আদালতে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Adverse inference ও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2026-07-30T10:50:00.078Z</dcterms:created>
  <dcterms:modified xsi:type="dcterms:W3CDTF">2026-07-30T10:50:00.078Z</dcterms:modified>
</cp:coreProperties>
</file>

<file path=docProps/custom.xml><?xml version="1.0" encoding="utf-8"?>
<Properties xmlns="http://schemas.openxmlformats.org/officeDocument/2006/custom-properties" xmlns:vt="http://schemas.openxmlformats.org/officeDocument/2006/docPropsVTypes"/>
</file>