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rPr>
          <w:rFonts w:ascii="Kalpurush" w:cs="Kalpurush" w:eastAsia="Kalpurush" w:hAnsi="Kalpurush"/>
          <w:sz w:val="20"/>
          <w:szCs w:val="20"/>
        </w:rPr>
        <w:t xml:space="preserve">জেলা জজ আদালত, টাঙ্গাইল</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আপীল মামলা নং ৩৮/২০২৬</w:t>
      </w:r>
    </w:p>
    <w:p>
      <w:pPr>
        <w:pStyle w:val="Heading3"/>
      </w:pPr>
      <w:r>
        <w:rPr>
          <w:rFonts w:ascii="Kalpurush" w:cs="Kalpurush" w:eastAsia="Kalpurush" w:hAnsi="Kalpurush"/>
          <w:sz w:val="20"/>
          <w:szCs w:val="20"/>
        </w:rPr>
        <w:t xml:space="preserve">বাটোয়ারা মামলা নং ৬৬/২০১৬, সখিপুর সিভিল জজ আদালত হইতে উদ্ভূত</w:t>
      </w:r>
    </w:p>
    <w:p>
      <w:r>
        <w:rPr>
          <w:rFonts w:ascii="Kalpurush" w:cs="Kalpurush" w:eastAsia="Kalpurush" w:hAnsi="Kalpurush"/>
        </w:rPr>
        <w:t xml:space="preserve"/>
      </w:r>
    </w:p>
    <w:p>
      <w:r>
        <w:rPr>
          <w:rFonts w:ascii="Kalpurush" w:cs="Kalpurush" w:eastAsia="Kalpurush" w:hAnsi="Kalpurush"/>
          <w:b/>
          <w:bCs/>
          <w:sz w:val="20"/>
          <w:szCs w:val="20"/>
        </w:rPr>
        <w:t xml:space="preserve">হাতেম আলী ও অন্যান্য (আপীল্যান্ট/বাদী) বনাম আলহাজ উদ্দিন ও অন্যান্য (রেসপন্ডেন্ট/বিবাদী)</w:t>
      </w:r>
    </w:p>
    <w:p>
      <w:r>
        <w:rPr>
          <w:rFonts w:ascii="Kalpurush" w:cs="Kalpurush" w:eastAsia="Kalpurush" w:hAnsi="Kalpurush"/>
        </w:rPr>
        <w:t xml:space="preserve"/>
      </w:r>
    </w:p>
    <w:p>
      <w:r>
        <w:rPr>
          <w:rFonts w:ascii="Kalpurush" w:cs="Kalpurush" w:eastAsia="Kalpurush" w:hAnsi="Kalpurush"/>
          <w:b/>
          <w:bCs/>
          <w:sz w:val="20"/>
          <w:szCs w:val="20"/>
        </w:rPr>
        <w:t xml:space="preserve">শুনানি সহায়িকা (Version 93 — Court-Ready Oral Hearing Aid with Bengali Translations)</w:t>
      </w:r>
    </w:p>
    <w:p>
      <w:r>
        <w:rPr>
          <w:rFonts w:ascii="Kalpurush" w:cs="Kalpurush" w:eastAsia="Kalpurush" w:hAnsi="Kalpurush"/>
        </w:rPr>
        <w:t xml:space="preserve"/>
      </w:r>
    </w:p>
    <w:p>
      <w:r>
        <w:rPr>
          <w:rFonts w:ascii="Kalpurush" w:cs="Kalpurush" w:eastAsia="Kalpurush" w:hAnsi="Kalpurush"/>
          <w:b/>
          <w:bCs/>
          <w:sz w:val="20"/>
          <w:szCs w:val="20"/>
        </w:rPr>
        <w:t xml:space="preserve">তারিখ:</w:t>
      </w:r>
      <w:r>
        <w:rPr>
          <w:rFonts w:ascii="Kalpurush" w:cs="Kalpurush" w:eastAsia="Kalpurush" w:hAnsi="Kalpurush"/>
          <w:sz w:val="20"/>
          <w:szCs w:val="20"/>
        </w:rPr>
        <w:t xml:space="preserve"> ১৭ আগস্ট ২০২৬ | </w:t>
      </w:r>
      <w:r>
        <w:rPr>
          <w:rFonts w:ascii="Kalpurush" w:cs="Kalpurush" w:eastAsia="Kalpurush" w:hAnsi="Kalpurush"/>
          <w:b/>
          <w:bCs/>
          <w:sz w:val="20"/>
          <w:szCs w:val="20"/>
        </w:rPr>
        <w:t xml:space="preserve">আদালত:</w:t>
      </w:r>
      <w:r>
        <w:rPr>
          <w:rFonts w:ascii="Kalpurush" w:cs="Kalpurush" w:eastAsia="Kalpurush" w:hAnsi="Kalpurush"/>
          <w:sz w:val="20"/>
          <w:szCs w:val="20"/>
        </w:rPr>
        <w:t xml:space="preserve"> জেলা জজ আদালত, টাঙ্গাইল</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প্রারম্ভিক নিবেদন ও এখতিয়ারগত স্পষ্টীকরণ (Jurisdictional Clarification)</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*"মহামান্য আদালত, এই আপীলে SA ২৩৮ সংশোধন বা বাতিলের জন্য কোনো independent relief প্রার্থনা করা হইতেছে না (যাহা Section 145A বা Land Survey Tribunal-এর বিষয় হইতে পারে); বরং বিচারাধীন বাটোয়ারা মামলার স্বত্ব নিষ্পত্তিতে বিবাদীপক্ষের প্রতিরক্ষার ভিত্তি হিসেবে কথিত ১৯৬৯ সালের সংশোধন আদৌ নির্ভরযোগ্য সাক্ষ্যে প্রমাণিত এবং আইনগতভাবে কার্যকর হইয়াছিল কি না, সেই প্রশ্নের evidentiary sufficiency পরীক্ষা করা হইতেছে। বাটোয়ারা মোকদ্দমায় আনুষঙ্গিক স্বত্বের প্রশ্ন (incidental title) নিষ্পত্তির সম্পূর্ণ দেওয়ানি এখতিয়ার আদালতের রহিয়াছে (23 BLD AD 83)।"*</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শুনানিতে ৫ মিনিটের সরাসরি পাঠযোগ্য রোডম্যাপ (5-Minute Spoken Oral Script)</w:t>
      </w:r>
    </w:p>
    <w:p>
      <w:r>
        <w:rPr>
          <w:rFonts w:ascii="Kalpurush" w:cs="Kalpurush" w:eastAsia="Kalpurush" w:hAnsi="Kalpurush"/>
        </w:rPr>
        <w:t xml:space="preserve"/>
      </w:r>
    </w:p>
    <w:p>
      <w:r>
        <w:rPr>
          <w:rFonts w:ascii="Kalpurush" w:cs="Kalpurush" w:eastAsia="Kalpurush" w:hAnsi="Kalpurush"/>
          <w:b/>
          <w:bCs/>
          <w:sz w:val="20"/>
          <w:szCs w:val="20"/>
        </w:rPr>
        <w:t xml:space="preserve">১. ১ম মিনিট (The Legal Starting Point &amp; State Record):</w:t>
      </w:r>
    </w:p>
    <w:p>
      <w:pPr>
        <w:ind w:left="720"/>
      </w:pPr>
      <w:r>
        <w:rPr>
          <w:rFonts w:ascii="Kalpurush" w:cs="Kalpurush" w:eastAsia="Kalpurush" w:hAnsi="Kalpurush"/>
          <w:i/>
          <w:iCs/>
          <w:sz w:val="20"/>
          <w:szCs w:val="20"/>
        </w:rPr>
        <w:t xml:space="preserve">*মহামান্য আদালত, আমাদের দাবি আব্দুল করিমের কথিত পত্তন থেকে derivative নয়। CS ২ নং খতিয়ানে নালিশী জমি কোনো ব্যক্তিগত রায়তি নামে রেকর্ডভুক্ত ছিল না; জমিটি নবাব এস্টেটের খাস হিসেবে প্রতিফলিত। ১৯৫২ সালের State Acquisition-এর পর ১৯৫৬–১৯৬২ সালের SA জরিপ কার্যক্রমে রাষ্ট্র আব্দুল আলীকে ১৬ আনা একক রায়ত হিসেবে রেকর্ড করে এবং সেই রেকর্ড চূড়ান্তভাবে প্রকাশিত হয়। বর্তমানে জেলা Settlement Record Room-এ সংরক্ষিত সইমোহরি SA ২৩৮ রেকর্ড অপরিবর্তিত রহিয়াছে।*</w:t>
      </w:r>
    </w:p>
    <w:p>
      <w:r>
        <w:rPr>
          <w:rFonts w:ascii="Kalpurush" w:cs="Kalpurush" w:eastAsia="Kalpurush" w:hAnsi="Kalpurush"/>
        </w:rPr>
        <w:t xml:space="preserve"/>
      </w:r>
    </w:p>
    <w:p>
      <w:r>
        <w:rPr>
          <w:rFonts w:ascii="Kalpurush" w:cs="Kalpurush" w:eastAsia="Kalpurush" w:hAnsi="Kalpurush"/>
          <w:b/>
          <w:bCs/>
          <w:sz w:val="20"/>
          <w:szCs w:val="20"/>
        </w:rPr>
        <w:t xml:space="preserve">২. ২য় মিনিট (The Statutory Presumption &amp; Evidentiary Advantage):</w:t>
      </w:r>
    </w:p>
    <w:p>
      <w:pPr>
        <w:ind w:left="720"/>
      </w:pPr>
      <w:r>
        <w:rPr>
          <w:rFonts w:ascii="Kalpurush" w:cs="Kalpurush" w:eastAsia="Kalpurush" w:hAnsi="Kalpurush"/>
          <w:i/>
          <w:iCs/>
          <w:sz w:val="20"/>
          <w:szCs w:val="20"/>
        </w:rPr>
        <w:t xml:space="preserve">*মহামান্য আদালত, আপীল্যান্টপক্ষ এমন কোনো absolute proposition করিতেছে না যে revenue record কখনো সংশোধনযোগ্য নহে, অথবা final SA record কখনো ভুল হইতে পারে না। আমাদের বক্তব্য সুনির্দিষ্ট: Section 144A-এর অধীনে SA ২৩৮ একটি rebuttable statutory presumption বহন করে। বিবাদীপক্ষ সেই presumption অতিক্রম করিতে চাহিতেছে একটি alleged 1969 correction-এর ভিত্তিতে। অতএব তাহাদের particular case-এর legal source, proceeding, contents, authority এবং lawful implementation নির্ভরযোগ্য প্রমাণে প্রতিষ্ঠিত হওয়া আবশ্যক।*</w:t>
      </w:r>
    </w:p>
    <w:p>
      <w:r>
        <w:rPr>
          <w:rFonts w:ascii="Kalpurush" w:cs="Kalpurush" w:eastAsia="Kalpurush" w:hAnsi="Kalpurush"/>
        </w:rPr>
        <w:t xml:space="preserve"/>
      </w:r>
    </w:p>
    <w:p>
      <w:r>
        <w:rPr>
          <w:rFonts w:ascii="Kalpurush" w:cs="Kalpurush" w:eastAsia="Kalpurush" w:hAnsi="Kalpurush"/>
          <w:b/>
          <w:bCs/>
          <w:sz w:val="20"/>
          <w:szCs w:val="20"/>
        </w:rPr>
        <w:t xml:space="preserve">৩. ৩য় মিনিট (The Missing Foundation — The Central Question):</w:t>
      </w:r>
    </w:p>
    <w:p>
      <w:pPr>
        <w:ind w:left="720"/>
      </w:pPr>
      <w:r>
        <w:rPr>
          <w:rFonts w:ascii="Kalpurush" w:cs="Kalpurush" w:eastAsia="Kalpurush" w:hAnsi="Kalpurush"/>
          <w:i/>
          <w:iCs/>
          <w:sz w:val="20"/>
          <w:szCs w:val="20"/>
        </w:rPr>
        <w:t xml:space="preserve">*এই মামলায় একটি AC Land volume entry আছে; কিন্তু সেই entry-এর legal source এবং provenance সম্পর্কে DW-4 নিজেই অজ্ঞতা প্রকাশ করিয়াছেন। কথিত Misc Case-এর parent order আদালতে নাই। বর্তমান District Settlement Record Room-এর SA ২৩৮-এও সোনাভানু recorded co-sharer হিসেবে প্রতিফলিত নন। মূল আদেশ বা আইনগত উৎস প্রমাণিত না হইলে, একটি পরবর্তী revenue entry-কে এককভাবে এমন প্রমাণ হিসেবে গ্রহণ করা নিরাপদ নহে, যাহা final SA record-এর statutory presumption-কে displaced বলিয়া গণ্য করার জন্য যথেষ্ট।*</w:t>
      </w:r>
    </w:p>
    <w:p>
      <w:r>
        <w:rPr>
          <w:rFonts w:ascii="Kalpurush" w:cs="Kalpurush" w:eastAsia="Kalpurush" w:hAnsi="Kalpurush"/>
        </w:rPr>
        <w:t xml:space="preserve"/>
      </w:r>
    </w:p>
    <w:p>
      <w:r>
        <w:rPr>
          <w:rFonts w:ascii="Kalpurush" w:cs="Kalpurush" w:eastAsia="Kalpurush" w:hAnsi="Kalpurush"/>
          <w:b/>
          <w:bCs/>
          <w:sz w:val="20"/>
          <w:szCs w:val="20"/>
        </w:rPr>
        <w:t xml:space="preserve">৪. ৪র্থ মিনিট (The Fatal Contradiction — 1975 Registered Deed):</w:t>
      </w:r>
    </w:p>
    <w:p>
      <w:pPr>
        <w:ind w:left="720"/>
      </w:pPr>
      <w:r>
        <w:rPr>
          <w:rFonts w:ascii="Kalpurush" w:cs="Kalpurush" w:eastAsia="Kalpurush" w:hAnsi="Kalpurush"/>
          <w:i/>
          <w:iCs/>
          <w:sz w:val="20"/>
          <w:szCs w:val="20"/>
        </w:rPr>
        <w:t xml:space="preserve">*Respondents’ present theory: 1969 correction → SA 238 effectively one dag, Plot 1259.  </w:t>
      </w:r>
    </w:p>
    <w:p>
      <w:pPr>
        <w:ind w:left="720"/>
      </w:pPr>
      <w:r>
        <w:rPr>
          <w:rFonts w:ascii="Kalpurush" w:cs="Kalpurush" w:eastAsia="Kalpurush" w:hAnsi="Kalpurush"/>
          <w:i/>
          <w:iCs/>
          <w:sz w:val="20"/>
          <w:szCs w:val="20"/>
        </w:rPr>
        <w:t xml:space="preserve">Their own registered deed of 1975 (Exhibit Kha-1): SA 238 → six dags, including Plots 1259, 75, 3, 54, 1252 and 1220.  </w:t>
      </w:r>
    </w:p>
    <w:p>
      <w:pPr>
        <w:ind w:left="720"/>
      </w:pPr>
      <w:r>
        <w:rPr>
          <w:rFonts w:ascii="Kalpurush" w:cs="Kalpurush" w:eastAsia="Kalpurush" w:hAnsi="Kalpurush"/>
          <w:i/>
          <w:iCs/>
          <w:sz w:val="20"/>
          <w:szCs w:val="20"/>
        </w:rPr>
        <w:t xml:space="preserve">Question: If the 1969 correction had already altered the SA holding to one dag, why did their own subsequent registered deed describe six dags under the same khatian?  </w:t>
      </w:r>
    </w:p>
    <w:p>
      <w:pPr>
        <w:ind w:left="720"/>
      </w:pPr>
      <w:r>
        <w:rPr>
          <w:rFonts w:ascii="Kalpurush" w:cs="Kalpurush" w:eastAsia="Kalpurush" w:hAnsi="Kalpurush"/>
          <w:i/>
          <w:iCs/>
          <w:sz w:val="20"/>
          <w:szCs w:val="20"/>
        </w:rPr>
        <w:t xml:space="preserve">We do not say this contradiction by itself proves fabrication. We say it materially weakens the evidentiary reliability of the one-dag correction theory unless satisfactorily explained. (বঙ্গানুবাদ: এই বৈপরীত্য নিজে থেকেই জালিয়াতি প্রমাণ করে না, কিন্তু এক-দাগের কথিত সংশোধন তত্ত্বের নির্ভরযোগ্যতাকে মারাত্মকভাবে দুর্বল করে।)*</w:t>
      </w:r>
    </w:p>
    <w:p>
      <w:r>
        <w:rPr>
          <w:rFonts w:ascii="Kalpurush" w:cs="Kalpurush" w:eastAsia="Kalpurush" w:hAnsi="Kalpurush"/>
        </w:rPr>
        <w:t xml:space="preserve"/>
      </w:r>
    </w:p>
    <w:p>
      <w:r>
        <w:rPr>
          <w:rFonts w:ascii="Kalpurush" w:cs="Kalpurush" w:eastAsia="Kalpurush" w:hAnsi="Kalpurush"/>
          <w:b/>
          <w:bCs/>
          <w:sz w:val="20"/>
          <w:szCs w:val="20"/>
        </w:rPr>
        <w:t xml:space="preserve">৫. ৫ম মিনিট (The Structural Errors &amp; Prayer):</w:t>
      </w:r>
    </w:p>
    <w:p>
      <w:pPr>
        <w:ind w:left="720"/>
      </w:pPr>
      <w:r>
        <w:rPr>
          <w:rFonts w:ascii="Kalpurush" w:cs="Kalpurush" w:eastAsia="Kalpurush" w:hAnsi="Kalpurush"/>
          <w:i/>
          <w:iCs/>
          <w:sz w:val="20"/>
          <w:szCs w:val="20"/>
        </w:rPr>
        <w:t xml:space="preserve">*অতএব প্রশ্নটি revenue authority-এর সাধারণ ক্ষমতা আছে কি না—তাহা নহে। প্রশ্নটি হইল: এই particular substantive change আইনসম্মতভাবে ঘটিয়াছিল—ইহার reliable documentary proof কোথায়? আমাদের বিনীত বক্তব্য, রেকর্ডে সেই প্রমাণ যথেষ্টভাবে প্রতিষ্ঠিত হয় নাই। বিজ্ঞ ট্রায়াল কোর্ট এই evidentiary gap-সমূহ বিবেচনা না করিয়া SA ২৩৮-এর statutory presumption-কে খারিজ করিয়াছেন। ১ নং রেসপন্ডেন্ট সোলায়মান হোসেন (আব্দুল আলীর পুত্র) সোলেনামার মাধ্যমে বাটোয়ারায় সম্মতি দিয়াছেন। অতএব ট্রায়াল কোর্টের খারিজ রায় বাতিল করিয়া আব্দুল আলীর উত্তরাধিকারীদের মধ্যে ১৬ আনা হিস্যার ভিত্তিতে প্রাথমিক ডিক্রি প্রদানই ন্যায়বিচারের একমাত্র দাবি।*</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The Two-Layer Test (আপীলের মূল আইনি কাঠামো)</w:t>
      </w:r>
    </w:p>
    <w:p>
      <w:r>
        <w:rPr>
          <w:rFonts w:ascii="Kalpurush" w:cs="Kalpurush" w:eastAsia="Kalpurush" w:hAnsi="Kalpurush"/>
        </w:rPr>
        <w:t xml:space="preserve"/>
      </w:r>
    </w:p>
    <w:p>
      <w:pPr>
        <w:pStyle w:val="ListParagraph"/>
        <w:numPr>
          <w:ilvl w:val="0"/>
          <w:numId w:val="1"/>
        </w:numPr>
      </w:pPr>
      <w:r>
        <w:rPr>
          <w:rFonts w:ascii="Kalpurush" w:cs="Kalpurush" w:eastAsia="Kalpurush" w:hAnsi="Kalpurush"/>
          <w:b/>
          <w:bCs/>
          <w:sz w:val="20"/>
          <w:szCs w:val="20"/>
        </w:rPr>
        <w:t xml:space="preserve">Layer 1 (Competing Root):</w:t>
      </w:r>
      <w:r>
        <w:rPr>
          <w:rFonts w:ascii="Kalpurush" w:cs="Kalpurush" w:eastAsia="Kalpurush" w:hAnsi="Kalpurush"/>
          <w:sz w:val="20"/>
          <w:szCs w:val="20"/>
        </w:rPr>
        <w:t xml:space="preserve"> আব্দুল করিম কি পূর্বে এমন কোনো legally cognizable tenancy interest </w:t>
      </w:r>
      <w:r>
        <w:rPr>
          <w:rFonts w:ascii="Kalpurush" w:cs="Kalpurush" w:eastAsia="Kalpurush" w:hAnsi="Kalpurush"/>
          <w:b/>
          <w:bCs/>
          <w:sz w:val="20"/>
          <w:szCs w:val="20"/>
        </w:rPr>
        <w:t xml:space="preserve">নির্ভরযোগ্যভাবে</w:t>
      </w:r>
      <w:r>
        <w:rPr>
          <w:rFonts w:ascii="Kalpurush" w:cs="Kalpurush" w:eastAsia="Kalpurush" w:hAnsi="Kalpurush"/>
          <w:sz w:val="20"/>
          <w:szCs w:val="20"/>
        </w:rPr>
        <w:t xml:space="preserve"> অর্জন করিয়াছিলেন, যাহার উত্তরাধিকার সোনাভানুর দিকে যায়?</w:t>
      </w:r>
    </w:p>
    <w:p>
      <w:pPr>
        <w:pStyle w:val="ListParagraph"/>
        <w:numPr>
          <w:ilvl w:val="0"/>
          <w:numId w:val="1"/>
        </w:numPr>
      </w:pPr>
      <w:r>
        <w:rPr>
          <w:rFonts w:ascii="Kalpurush" w:cs="Kalpurush" w:eastAsia="Kalpurush" w:hAnsi="Kalpurush"/>
          <w:b/>
          <w:bCs/>
          <w:sz w:val="20"/>
          <w:szCs w:val="20"/>
        </w:rPr>
        <w:t xml:space="preserve">Layer 2 (Displacement) — মূল শক্তি:</w:t>
      </w:r>
      <w:r>
        <w:rPr>
          <w:rFonts w:ascii="Kalpurush" w:cs="Kalpurush" w:eastAsia="Kalpurush" w:hAnsi="Kalpurush"/>
          <w:sz w:val="20"/>
          <w:szCs w:val="20"/>
        </w:rPr>
        <w:t xml:space="preserve"> তর্কের খাতিরে যদি ধরিয়াও নেওয়া হয় যে কোনো pre-SA interest ছিল; তাহা সত্ত্বেও কীভাবে সেই interest আইনগতভাবে আব্দুল আলীর নামে final SA entry-কে অতিক্রম (displace) করিয়া সোনাভানুর জন্য present enforceable interest সৃষ্টি করিল?</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"Even assuming, for argument's sake, that Abdul Karim had some pre-SA interest, that assumption does not by itself establish that Abdul Ali's finally published SA entry was wrong, nor does it establish the lawful creation of a present enforceable interest in Sona Bhanu."</w:t>
      </w:r>
      <w:r>
        <w:rPr>
          <w:rFonts w:ascii="Kalpurush" w:cs="Kalpurush" w:eastAsia="Kalpurush" w:hAnsi="Kalpurush"/>
          <w:i/>
          <w:iCs/>
          <w:sz w:val="20"/>
          <w:szCs w:val="20"/>
        </w:rPr>
        <w:t xml:space="preserve">  </w:t>
      </w:r>
    </w:p>
    <w:p>
      <w:pPr>
        <w:ind w:left="720"/>
      </w:pPr>
      <w:r>
        <w:rPr>
          <w:rFonts w:ascii="Kalpurush" w:cs="Kalpurush" w:eastAsia="Kalpurush" w:hAnsi="Kalpurush"/>
          <w:i/>
          <w:iCs/>
          <w:sz w:val="20"/>
          <w:szCs w:val="20"/>
        </w:rPr>
        <w:t xml:space="preserve">*(বঙ্গানুবাদ: তর্কের খাতিরে যদি সেই দাবি মানিয়াও নেওয়া হয়, তবুও তাহা নিজে থেকেই প্রমাণ করে না যে আব্দুল আলীর চূড়ান্তভাবে প্রকাশিত SA entry ভুল ছিল, এবং তাহা সোনাভানুর জন্য বর্তমান বলবৎযোগ্য স্বত্ব সৃষ্টির বৈধতাও প্রতিষ্ঠিত করে না।)*</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Clerical correction ≠ Substantive displacement (Section 143/143C)</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*"মহামান্য আদালত, আপীল্যান্টপক্ষ Revenue Officer-এর রেকর্ড সংশোধনের সাধারণ ক্ষমতা অস্বীকার করিতেছে না। SAT Act-এর Section 143 এবং Section 143C-তে clerical mistake ও mutation/inheritance-এর সুনির্দিষ্ট বিধান রহিয়াছে। কিন্তু বর্তমান মামলাটি কোনো সাধারণ করণিক সংশোধনের নহে; বরং চূড়ান্ত রেকর্ডধারী আব্দুল আলীর স্বত্বের বিপরীতে সোনাভানুর substantive interest সৃষ্টির দাবি। সাধারণ ক্ষমতার অস্তিত্ব প্রমাণ করিলেই এই নির্দিষ্ট substantive change-এর বৈধতা প্রমাণিত হয় না; তাহার lawful proceeding, notice, order ও implementation প্রমাণ আবশ্যক।"*</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Evidentiary Checklist: কথিত সংশোধনের গুরুত্বপূর্ণ প্রশ্নসমূহ</w:t>
      </w:r>
    </w:p>
    <w:p>
      <w:r>
        <w:rPr>
          <w:rFonts w:ascii="Kalpurush" w:cs="Kalpurush" w:eastAsia="Kalpurush" w:hAnsi="Kalpurush"/>
        </w:rPr>
        <w:t xml:space="preserve"/>
      </w:r>
    </w:p>
    <w:p>
      <w:r>
        <w:rPr>
          <w:rFonts w:ascii="Kalpurush" w:cs="Kalpurush" w:eastAsia="Kalpurush" w:hAnsi="Kalpurush"/>
          <w:sz w:val="20"/>
          <w:szCs w:val="20"/>
        </w:rPr>
        <w:t xml:space="preserve">১. </w:t>
      </w:r>
      <w:r>
        <w:rPr>
          <w:rFonts w:ascii="Kalpurush" w:cs="Kalpurush" w:eastAsia="Kalpurush" w:hAnsi="Kalpurush"/>
          <w:b/>
          <w:bCs/>
          <w:sz w:val="20"/>
          <w:szCs w:val="20"/>
        </w:rPr>
        <w:t xml:space="preserve">Existence:</w:t>
      </w:r>
      <w:r>
        <w:rPr>
          <w:rFonts w:ascii="Kalpurush" w:cs="Kalpurush" w:eastAsia="Kalpurush" w:hAnsi="Kalpurush"/>
          <w:sz w:val="20"/>
          <w:szCs w:val="20"/>
        </w:rPr>
        <w:t xml:space="preserve"> কথিত Misc Case-এর সার্টিফাইড কপি বা মূল ফাইল কোথায়?  </w:t>
      </w:r>
    </w:p>
    <w:p>
      <w:r>
        <w:rPr>
          <w:rFonts w:ascii="Kalpurush" w:cs="Kalpurush" w:eastAsia="Kalpurush" w:hAnsi="Kalpurush"/>
          <w:sz w:val="20"/>
          <w:szCs w:val="20"/>
        </w:rPr>
        <w:t xml:space="preserve">২. </w:t>
      </w:r>
      <w:r>
        <w:rPr>
          <w:rFonts w:ascii="Kalpurush" w:cs="Kalpurush" w:eastAsia="Kalpurush" w:hAnsi="Kalpurush"/>
          <w:b/>
          <w:bCs/>
          <w:sz w:val="20"/>
          <w:szCs w:val="20"/>
        </w:rPr>
        <w:t xml:space="preserve">Contents:</w:t>
      </w:r>
      <w:r>
        <w:rPr>
          <w:rFonts w:ascii="Kalpurush" w:cs="Kalpurush" w:eastAsia="Kalpurush" w:hAnsi="Kalpurush"/>
          <w:sz w:val="20"/>
          <w:szCs w:val="20"/>
        </w:rPr>
        <w:t xml:space="preserve"> আদেশটির সুনির্দিষ্ট বিষয়বস্তু ও শর্তাবলী কী ছিল?  </w:t>
      </w:r>
    </w:p>
    <w:p>
      <w:r>
        <w:rPr>
          <w:rFonts w:ascii="Kalpurush" w:cs="Kalpurush" w:eastAsia="Kalpurush" w:hAnsi="Kalpurush"/>
          <w:sz w:val="20"/>
          <w:szCs w:val="20"/>
        </w:rPr>
        <w:t xml:space="preserve">৩. </w:t>
      </w:r>
      <w:r>
        <w:rPr>
          <w:rFonts w:ascii="Kalpurush" w:cs="Kalpurush" w:eastAsia="Kalpurush" w:hAnsi="Kalpurush"/>
          <w:b/>
          <w:bCs/>
          <w:sz w:val="20"/>
          <w:szCs w:val="20"/>
        </w:rPr>
        <w:t xml:space="preserve">Jurisdiction:</w:t>
      </w:r>
      <w:r>
        <w:rPr>
          <w:rFonts w:ascii="Kalpurush" w:cs="Kalpurush" w:eastAsia="Kalpurush" w:hAnsi="Kalpurush"/>
          <w:sz w:val="20"/>
          <w:szCs w:val="20"/>
        </w:rPr>
        <w:t xml:space="preserve"> কোন এখতিয়ারে আদেশটি প্রদান করা হইয়াছিল? (27 BLD HD 544)  </w:t>
      </w:r>
    </w:p>
    <w:p>
      <w:r>
        <w:rPr>
          <w:rFonts w:ascii="Kalpurush" w:cs="Kalpurush" w:eastAsia="Kalpurush" w:hAnsi="Kalpurush"/>
          <w:sz w:val="20"/>
          <w:szCs w:val="20"/>
        </w:rPr>
        <w:t xml:space="preserve">৪. </w:t>
      </w:r>
      <w:r>
        <w:rPr>
          <w:rFonts w:ascii="Kalpurush" w:cs="Kalpurush" w:eastAsia="Kalpurush" w:hAnsi="Kalpurush"/>
          <w:b/>
          <w:bCs/>
          <w:sz w:val="20"/>
          <w:szCs w:val="20"/>
        </w:rPr>
        <w:t xml:space="preserve">Notice:</w:t>
      </w:r>
      <w:r>
        <w:rPr>
          <w:rFonts w:ascii="Kalpurush" w:cs="Kalpurush" w:eastAsia="Kalpurush" w:hAnsi="Kalpurush"/>
          <w:sz w:val="20"/>
          <w:szCs w:val="20"/>
        </w:rPr>
        <w:t xml:space="preserve"> রেকর্ডভুক্ত প্রজা আব্দুল আলীকে নোটিশ দেওয়া হইয়াছিল কি?  </w:t>
      </w:r>
    </w:p>
    <w:p>
      <w:r>
        <w:rPr>
          <w:rFonts w:ascii="Kalpurush" w:cs="Kalpurush" w:eastAsia="Kalpurush" w:hAnsi="Kalpurush"/>
          <w:sz w:val="20"/>
          <w:szCs w:val="20"/>
        </w:rPr>
        <w:t xml:space="preserve">৫. </w:t>
      </w:r>
      <w:r>
        <w:rPr>
          <w:rFonts w:ascii="Kalpurush" w:cs="Kalpurush" w:eastAsia="Kalpurush" w:hAnsi="Kalpurush"/>
          <w:b/>
          <w:bCs/>
          <w:sz w:val="20"/>
          <w:szCs w:val="20"/>
        </w:rPr>
        <w:t xml:space="preserve">Implementation:</w:t>
      </w:r>
      <w:r>
        <w:rPr>
          <w:rFonts w:ascii="Kalpurush" w:cs="Kalpurush" w:eastAsia="Kalpurush" w:hAnsi="Kalpurush"/>
          <w:sz w:val="20"/>
          <w:szCs w:val="20"/>
        </w:rPr>
        <w:t xml:space="preserve"> কথিত সংশোধনটির lawful implementation-এর corresponding official trail কোথায়?  </w:t>
      </w:r>
    </w:p>
    <w:p>
      <w:r>
        <w:rPr>
          <w:rFonts w:ascii="Kalpurush" w:cs="Kalpurush" w:eastAsia="Kalpurush" w:hAnsi="Kalpurush"/>
          <w:sz w:val="20"/>
          <w:szCs w:val="20"/>
        </w:rPr>
        <w:t xml:space="preserve">৬. </w:t>
      </w:r>
      <w:r>
        <w:rPr>
          <w:rFonts w:ascii="Kalpurush" w:cs="Kalpurush" w:eastAsia="Kalpurush" w:hAnsi="Kalpurush"/>
          <w:b/>
          <w:bCs/>
          <w:sz w:val="20"/>
          <w:szCs w:val="20"/>
        </w:rPr>
        <w:t xml:space="preserve">Authoritative Record:</w:t>
      </w:r>
      <w:r>
        <w:rPr>
          <w:rFonts w:ascii="Kalpurush" w:cs="Kalpurush" w:eastAsia="Kalpurush" w:hAnsi="Kalpurush"/>
          <w:sz w:val="20"/>
          <w:szCs w:val="20"/>
        </w:rPr>
        <w:t xml:space="preserve"> জেলা সেটেলমেন্ট রেকর্ড রুমে আজও আব্দুল আলীর নাম বহাল; সংশোধিত SA ২৩৮-এর সইমোহরি কপি কোথায়?  </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১০টি অগ্রাধিকারপ্রাপ্ত তীক্ষ্ণ প্রশ্ন ও সুনির্দিষ্ট মৌখিক জবাব (Bench Q&amp;As)</w:t>
      </w:r>
    </w:p>
    <w:p>
      <w:r>
        <w:rPr>
          <w:rFonts w:ascii="Kalpurush" w:cs="Kalpurush" w:eastAsia="Kalpurush" w:hAnsi="Kalpurush"/>
        </w:rPr>
        <w:t xml:space="preserve"/>
      </w:r>
    </w:p>
    <w:p>
      <w:r>
        <w:rPr>
          <w:rFonts w:ascii="Kalpurush" w:cs="Kalpurush" w:eastAsia="Kalpurush" w:hAnsi="Kalpurush"/>
          <w:b/>
          <w:bCs/>
          <w:sz w:val="20"/>
          <w:szCs w:val="20"/>
        </w:rPr>
        <w:t xml:space="preserve">Q1: আপনারা যদি ১৯৩৪ সালের পত্তন প্রমাণ না করেন, তবে আব্দুল আলীর স্বত্বের উৎস কী?</w:t>
      </w:r>
    </w:p>
    <w:p>
      <w:pPr>
        <w:ind w:left="720"/>
      </w:pPr>
      <w:r>
        <w:rPr>
          <w:rFonts w:ascii="Kalpurush" w:cs="Kalpurush" w:eastAsia="Kalpurush" w:hAnsi="Kalpurush"/>
          <w:b/>
          <w:bCs/>
          <w:i/>
          <w:iCs/>
          <w:sz w:val="20"/>
          <w:szCs w:val="20"/>
        </w:rPr>
        <w:t xml:space="preserve">A:</w:t>
      </w:r>
      <w:r>
        <w:rPr>
          <w:rFonts w:ascii="Kalpurush" w:cs="Kalpurush" w:eastAsia="Kalpurush" w:hAnsi="Kalpurush"/>
          <w:i/>
          <w:iCs/>
          <w:sz w:val="20"/>
          <w:szCs w:val="20"/>
        </w:rPr>
        <w:t xml:space="preserve"> *"My Lord, আমাদের দাবি আব্দুল করিমের কথিত পত্তন থেকে derivative নয়। আমাদের প্রমাণের কেন্দ্রবিন্দু হলো রাষ্ট্রের Estate Acquisition-পরবর্তী State Recognition এবং finally published SA Record। বিবাদীপক্ষই প্রথম সেই State Recognition-কে ভুল দাবি করিয়াছেন — তাই তাঁহাদের competing root tenancy এবং lawful displacement উভয়ই প্রমাণ করিতে হইবে।"*</w:t>
      </w:r>
    </w:p>
    <w:p>
      <w:r>
        <w:rPr>
          <w:rFonts w:ascii="Kalpurush" w:cs="Kalpurush" w:eastAsia="Kalpurush" w:hAnsi="Kalpurush"/>
        </w:rPr>
        <w:t xml:space="preserve"/>
      </w:r>
    </w:p>
    <w:p>
      <w:r>
        <w:rPr>
          <w:rFonts w:ascii="Kalpurush" w:cs="Kalpurush" w:eastAsia="Kalpurush" w:hAnsi="Kalpurush"/>
          <w:b/>
          <w:bCs/>
          <w:sz w:val="20"/>
          <w:szCs w:val="20"/>
        </w:rPr>
        <w:t xml:space="preserve">Q2: Misc Case 1181/1969-এর certified copy কেন উপস্থাপিত হয়নি?</w:t>
      </w:r>
    </w:p>
    <w:p>
      <w:pPr>
        <w:ind w:left="720"/>
      </w:pPr>
      <w:r>
        <w:rPr>
          <w:rFonts w:ascii="Kalpurush" w:cs="Kalpurush" w:eastAsia="Kalpurush" w:hAnsi="Kalpurush"/>
          <w:b/>
          <w:bCs/>
          <w:i/>
          <w:iCs/>
          <w:sz w:val="20"/>
          <w:szCs w:val="20"/>
        </w:rPr>
        <w:t xml:space="preserve">A:</w:t>
      </w:r>
      <w:r>
        <w:rPr>
          <w:rFonts w:ascii="Kalpurush" w:cs="Kalpurush" w:eastAsia="Kalpurush" w:hAnsi="Kalpurush"/>
          <w:i/>
          <w:iCs/>
          <w:sz w:val="20"/>
          <w:szCs w:val="20"/>
        </w:rPr>
        <w:t xml:space="preserve"> *"My Lord, বিবাদীরা Misc Case-এর certified copy দিতে পারেননি; মূল ফাইলও সমন করেননি। কথিত Misc Case-এর মূল নথি বা certified order আদালতে উপস্থাপিত না হওয়ায় alleged correction theory মারাত্মক evidentiary difficulty-র সম্মুখীন হয়।"*</w:t>
      </w:r>
    </w:p>
    <w:p>
      <w:r>
        <w:rPr>
          <w:rFonts w:ascii="Kalpurush" w:cs="Kalpurush" w:eastAsia="Kalpurush" w:hAnsi="Kalpurush"/>
        </w:rPr>
        <w:t xml:space="preserve"/>
      </w:r>
    </w:p>
    <w:p>
      <w:r>
        <w:rPr>
          <w:rFonts w:ascii="Kalpurush" w:cs="Kalpurush" w:eastAsia="Kalpurush" w:hAnsi="Kalpurush"/>
          <w:b/>
          <w:bCs/>
          <w:sz w:val="20"/>
          <w:szCs w:val="20"/>
        </w:rPr>
        <w:t xml:space="preserve">Q3: AC Land ভলিউম এন্ট্রির আইনি গুরুত্ব কতটুকু?</w:t>
      </w:r>
    </w:p>
    <w:p>
      <w:pPr>
        <w:ind w:left="720"/>
      </w:pPr>
      <w:r>
        <w:rPr>
          <w:rFonts w:ascii="Kalpurush" w:cs="Kalpurush" w:eastAsia="Kalpurush" w:hAnsi="Kalpurush"/>
          <w:b/>
          <w:bCs/>
          <w:i/>
          <w:iCs/>
          <w:sz w:val="20"/>
          <w:szCs w:val="20"/>
        </w:rPr>
        <w:t xml:space="preserve">A:</w:t>
      </w:r>
      <w:r>
        <w:rPr>
          <w:rFonts w:ascii="Kalpurush" w:cs="Kalpurush" w:eastAsia="Kalpurush" w:hAnsi="Kalpurush"/>
          <w:i/>
          <w:iCs/>
          <w:sz w:val="20"/>
          <w:szCs w:val="20"/>
        </w:rPr>
        <w:t xml:space="preserve"> *"My Lord, Revenue authority-এর statutory power থাকলেও, সেই power-এর particular exercise কীভাবে ও কোন ভিত্তির উপর ঘটিয়াছে—তাহা এই মামলায় অপ্রমাণিত। DW-4 নিজেই এন্ট্রির provenance ও legal source ব্যাখ্যা করিতে ব্যর্থ হইয়াছেন।"*</w:t>
      </w:r>
    </w:p>
    <w:p>
      <w:r>
        <w:rPr>
          <w:rFonts w:ascii="Kalpurush" w:cs="Kalpurush" w:eastAsia="Kalpurush" w:hAnsi="Kalpurush"/>
        </w:rPr>
        <w:t xml:space="preserve"/>
      </w:r>
    </w:p>
    <w:p>
      <w:r>
        <w:rPr>
          <w:rFonts w:ascii="Kalpurush" w:cs="Kalpurush" w:eastAsia="Kalpurush" w:hAnsi="Kalpurush"/>
          <w:b/>
          <w:bCs/>
          <w:sz w:val="20"/>
          <w:szCs w:val="20"/>
        </w:rPr>
        <w:t xml:space="preserve">Q4: DW-4 জেরায় কী কী স্বীকার করিয়াছেন?</w:t>
      </w:r>
    </w:p>
    <w:p>
      <w:pPr>
        <w:ind w:left="720"/>
      </w:pPr>
      <w:r>
        <w:rPr>
          <w:rFonts w:ascii="Kalpurush" w:cs="Kalpurush" w:eastAsia="Kalpurush" w:hAnsi="Kalpurush"/>
          <w:b/>
          <w:bCs/>
          <w:i/>
          <w:iCs/>
          <w:sz w:val="20"/>
          <w:szCs w:val="20"/>
        </w:rPr>
        <w:t xml:space="preserve">A:</w:t>
      </w:r>
      <w:r>
        <w:rPr>
          <w:rFonts w:ascii="Kalpurush" w:cs="Kalpurush" w:eastAsia="Kalpurush" w:hAnsi="Kalpurush"/>
          <w:i/>
          <w:iCs/>
          <w:sz w:val="20"/>
          <w:szCs w:val="20"/>
        </w:rPr>
        <w:t xml:space="preserve"> *"My Lord, DW-4 স্বীকার করিয়াছেন যে ভলিউমের মন্তব্য কলামে মিসকেস নাম্বার অস্পষ্ট, কে বা কবে লিখিয়াছে তাহা অজ্ঞাত, যোগসাজশ আছে কি না জানা নাই, এবং সোনাভানুর নাম ভিন্ন কালিতে লেখা। তিনি কোনো parent file বা মূল আদেশ প্রদর্শন করিতে পারেন নাই।"*</w:t>
      </w:r>
    </w:p>
    <w:p>
      <w:r>
        <w:rPr>
          <w:rFonts w:ascii="Kalpurush" w:cs="Kalpurush" w:eastAsia="Kalpurush" w:hAnsi="Kalpurush"/>
        </w:rPr>
        <w:t xml:space="preserve"/>
      </w:r>
    </w:p>
    <w:p>
      <w:r>
        <w:rPr>
          <w:rFonts w:ascii="Kalpurush" w:cs="Kalpurush" w:eastAsia="Kalpurush" w:hAnsi="Kalpurush"/>
          <w:b/>
          <w:bCs/>
          <w:sz w:val="20"/>
          <w:szCs w:val="20"/>
        </w:rPr>
        <w:t xml:space="preserve">Q5: District Record Room-এর অপরিবর্তিত খতিয়ানের গুরুত্ব কী?</w:t>
      </w:r>
    </w:p>
    <w:p>
      <w:pPr>
        <w:ind w:left="720"/>
      </w:pPr>
      <w:r>
        <w:rPr>
          <w:rFonts w:ascii="Kalpurush" w:cs="Kalpurush" w:eastAsia="Kalpurush" w:hAnsi="Kalpurush"/>
          <w:b/>
          <w:bCs/>
          <w:i/>
          <w:iCs/>
          <w:sz w:val="20"/>
          <w:szCs w:val="20"/>
        </w:rPr>
        <w:t xml:space="preserve">A:</w:t>
      </w:r>
      <w:r>
        <w:rPr>
          <w:rFonts w:ascii="Kalpurush" w:cs="Kalpurush" w:eastAsia="Kalpurush" w:hAnsi="Kalpurush"/>
          <w:i/>
          <w:iCs/>
          <w:sz w:val="20"/>
          <w:szCs w:val="20"/>
        </w:rPr>
        <w:t xml:space="preserve"> *"My Lord, আজও District Settlement Record Room-এ SA ২৩৮-এ Abdul Ali-এর নাম এককভাবে বহাল। যে পক্ষ correction-এর উপর substantive title দাবি করিতেছে, সে correction-এর authoritative existence, content এবং implementation প্রমাণে কোনো documentary chain উপস্থাপন করিতে পারেনি।"*</w:t>
      </w:r>
    </w:p>
    <w:p>
      <w:r>
        <w:rPr>
          <w:rFonts w:ascii="Kalpurush" w:cs="Kalpurush" w:eastAsia="Kalpurush" w:hAnsi="Kalpurush"/>
        </w:rPr>
        <w:t xml:space="preserve"/>
      </w:r>
    </w:p>
    <w:p>
      <w:r>
        <w:rPr>
          <w:rFonts w:ascii="Kalpurush" w:cs="Kalpurush" w:eastAsia="Kalpurush" w:hAnsi="Kalpurush"/>
          <w:b/>
          <w:bCs/>
          <w:sz w:val="20"/>
          <w:szCs w:val="20"/>
        </w:rPr>
        <w:t xml:space="preserve">Q6: ১৯৭৫ সালের দলিলে ৬ দাগের বিষয়টি কতটা গুরুত্বপূর্ণ?</w:t>
      </w:r>
    </w:p>
    <w:p>
      <w:pPr>
        <w:ind w:left="720"/>
      </w:pPr>
      <w:r>
        <w:rPr>
          <w:rFonts w:ascii="Kalpurush" w:cs="Kalpurush" w:eastAsia="Kalpurush" w:hAnsi="Kalpurush"/>
          <w:b/>
          <w:bCs/>
          <w:i/>
          <w:iCs/>
          <w:sz w:val="20"/>
          <w:szCs w:val="20"/>
        </w:rPr>
        <w:t xml:space="preserve">A:</w:t>
      </w:r>
      <w:r>
        <w:rPr>
          <w:rFonts w:ascii="Kalpurush" w:cs="Kalpurush" w:eastAsia="Kalpurush" w:hAnsi="Kalpurush"/>
          <w:i/>
          <w:iCs/>
          <w:sz w:val="20"/>
          <w:szCs w:val="20"/>
        </w:rPr>
        <w:t xml:space="preserve"> *"My Lord, বিবাদীদের বর্তমান দাবি ১৯৬৯ সালের সংশোধনে SA ২৩৮ কেবল ১টি দাগে (১২৫৯ দাগ) সীমাবদ্ধ হইয়াছে। অথচ তাহাদের নিজেদের ১৯৭৫ সালের রেজিস্ট্রিকৃত দলিলেই ৬টি দাগের (১২৫৯, ৭৫, ৩, ৫৪, ১২৫২, ১২২০) বর্ণনা রহিয়াছে (Exhibit Kha-1)। এই বৈপরীত্য এক-দাগের সংশোধন তত্ত্বের নির্ভরযোগ্যতাকে মারাত্মকভাবে দুর্বল করে।"*</w:t>
      </w:r>
    </w:p>
    <w:p>
      <w:r>
        <w:rPr>
          <w:rFonts w:ascii="Kalpurush" w:cs="Kalpurush" w:eastAsia="Kalpurush" w:hAnsi="Kalpurush"/>
        </w:rPr>
        <w:t xml:space="preserve"/>
      </w:r>
    </w:p>
    <w:p>
      <w:r>
        <w:rPr>
          <w:rFonts w:ascii="Kalpurush" w:cs="Kalpurush" w:eastAsia="Kalpurush" w:hAnsi="Kalpurush"/>
          <w:b/>
          <w:bCs/>
          <w:sz w:val="20"/>
          <w:szCs w:val="20"/>
        </w:rPr>
        <w:t xml:space="preserve">Q7: ১৯৫৭ সালের দলিলের ভূমিকা কী?</w:t>
      </w:r>
    </w:p>
    <w:p>
      <w:pPr>
        <w:ind w:left="720"/>
      </w:pPr>
      <w:r>
        <w:rPr>
          <w:rFonts w:ascii="Kalpurush" w:cs="Kalpurush" w:eastAsia="Kalpurush" w:hAnsi="Kalpurush"/>
          <w:b/>
          <w:bCs/>
          <w:i/>
          <w:iCs/>
          <w:sz w:val="20"/>
          <w:szCs w:val="20"/>
        </w:rPr>
        <w:t xml:space="preserve">A:</w:t>
      </w:r>
      <w:r>
        <w:rPr>
          <w:rFonts w:ascii="Kalpurush" w:cs="Kalpurush" w:eastAsia="Kalpurush" w:hAnsi="Kalpurush"/>
          <w:i/>
          <w:iCs/>
          <w:sz w:val="20"/>
          <w:szCs w:val="20"/>
        </w:rPr>
        <w:t xml:space="preserve"> *"My Lord, ২৩৯৮/১৯৫৭ নং দলিল SA ২৩৮-এর title source নহে; এটি SA operation চলাকালীন সমসাময়িক নিবন্ধিত দালিলিক সম্পর্কের (Contemporaneous corroborative circumstance) প্রমাণ।"*</w:t>
      </w:r>
    </w:p>
    <w:p>
      <w:r>
        <w:rPr>
          <w:rFonts w:ascii="Kalpurush" w:cs="Kalpurush" w:eastAsia="Kalpurush" w:hAnsi="Kalpurush"/>
        </w:rPr>
        <w:t xml:space="preserve"/>
      </w:r>
    </w:p>
    <w:p>
      <w:r>
        <w:rPr>
          <w:rFonts w:ascii="Kalpurush" w:cs="Kalpurush" w:eastAsia="Kalpurush" w:hAnsi="Kalpurush"/>
          <w:b/>
          <w:bCs/>
          <w:sz w:val="20"/>
          <w:szCs w:val="20"/>
        </w:rPr>
        <w:t xml:space="preserve">Q8: Abdul Karim-এর pre-SA interest ধরে নিলে কী হয়?</w:t>
      </w:r>
    </w:p>
    <w:p>
      <w:pPr>
        <w:ind w:left="720"/>
      </w:pPr>
      <w:r>
        <w:rPr>
          <w:rFonts w:ascii="Kalpurush" w:cs="Kalpurush" w:eastAsia="Kalpurush" w:hAnsi="Kalpurush"/>
          <w:b/>
          <w:bCs/>
          <w:i/>
          <w:iCs/>
          <w:sz w:val="20"/>
          <w:szCs w:val="20"/>
        </w:rPr>
        <w:t xml:space="preserve">A:</w:t>
      </w:r>
      <w:r>
        <w:rPr>
          <w:rFonts w:ascii="Kalpurush" w:cs="Kalpurush" w:eastAsia="Kalpurush" w:hAnsi="Kalpurush"/>
          <w:i/>
          <w:iCs/>
          <w:sz w:val="20"/>
          <w:szCs w:val="20"/>
        </w:rPr>
        <w:t xml:space="preserve"> *"My Lord, even assuming for argument's sake that Abdul Karim had some pre-SA interest, that assumption alone does not prove that Abdul Ali's finally published SA entry was wrong, nor does it prove how Sona Bhanu acquired a legally effective present interest in SA 238 (Layer 2 Fallback)।"*</w:t>
      </w:r>
    </w:p>
    <w:p>
      <w:r>
        <w:rPr>
          <w:rFonts w:ascii="Kalpurush" w:cs="Kalpurush" w:eastAsia="Kalpurush" w:hAnsi="Kalpurush"/>
        </w:rPr>
        <w:t xml:space="preserve"/>
      </w:r>
    </w:p>
    <w:p>
      <w:r>
        <w:rPr>
          <w:rFonts w:ascii="Kalpurush" w:cs="Kalpurush" w:eastAsia="Kalpurush" w:hAnsi="Kalpurush"/>
          <w:b/>
          <w:bCs/>
          <w:sz w:val="20"/>
          <w:szCs w:val="20"/>
        </w:rPr>
        <w:t xml:space="preserve">Q9: সরকারি জমি বাদ পড়ায় কি Hotchpot দোষ হইয়াছে?</w:t>
      </w:r>
    </w:p>
    <w:p>
      <w:pPr>
        <w:ind w:left="720"/>
      </w:pPr>
      <w:r>
        <w:rPr>
          <w:rFonts w:ascii="Kalpurush" w:cs="Kalpurush" w:eastAsia="Kalpurush" w:hAnsi="Kalpurush"/>
          <w:b/>
          <w:bCs/>
          <w:i/>
          <w:iCs/>
          <w:sz w:val="20"/>
          <w:szCs w:val="20"/>
        </w:rPr>
        <w:t xml:space="preserve">A:</w:t>
      </w:r>
      <w:r>
        <w:rPr>
          <w:rFonts w:ascii="Kalpurush" w:cs="Kalpurush" w:eastAsia="Kalpurush" w:hAnsi="Kalpurush"/>
          <w:i/>
          <w:iCs/>
          <w:sz w:val="20"/>
          <w:szCs w:val="20"/>
        </w:rPr>
        <w:t xml:space="preserve"> *"My Lord, একই দাগের সরকারি জমি পৃথক খতিয়ানে। পৃথক খতিয়ানের জমি বা সরকারের জমি ব্যক্তিমালিকানাধীন বাটোয়ারায় আনা বাধ্যতামূলক নহে (27 BLD HD 229)। বাদীদের তফসিলে ৩৪০ শতাংশ + সরকারি ১৩৭ শতাংশ = ৪৭৭ শতাংশ দাগের মোট পরিমাপের সাথে নিখুঁতভাবে মিলে যায়।"*</w:t>
      </w:r>
    </w:p>
    <w:p>
      <w:r>
        <w:rPr>
          <w:rFonts w:ascii="Kalpurush" w:cs="Kalpurush" w:eastAsia="Kalpurush" w:hAnsi="Kalpurush"/>
        </w:rPr>
        <w:t xml:space="preserve"/>
      </w:r>
    </w:p>
    <w:p>
      <w:r>
        <w:rPr>
          <w:rFonts w:ascii="Kalpurush" w:cs="Kalpurush" w:eastAsia="Kalpurush" w:hAnsi="Kalpurush"/>
          <w:b/>
          <w:bCs/>
          <w:sz w:val="20"/>
          <w:szCs w:val="20"/>
        </w:rPr>
        <w:t xml:space="preserve">Q10: ১ নং রেসপন্ডেন্ট সোলায়মান হোসেনের সোলেনামার তাৎপর্য কী?</w:t>
      </w:r>
    </w:p>
    <w:p>
      <w:pPr>
        <w:ind w:left="720"/>
      </w:pPr>
      <w:r>
        <w:rPr>
          <w:rFonts w:ascii="Kalpurush" w:cs="Kalpurush" w:eastAsia="Kalpurush" w:hAnsi="Kalpurush"/>
          <w:b/>
          <w:bCs/>
          <w:i/>
          <w:iCs/>
          <w:sz w:val="20"/>
          <w:szCs w:val="20"/>
        </w:rPr>
        <w:t xml:space="preserve">A:</w:t>
      </w:r>
      <w:r>
        <w:rPr>
          <w:rFonts w:ascii="Kalpurush" w:cs="Kalpurush" w:eastAsia="Kalpurush" w:hAnsi="Kalpurush"/>
          <w:i/>
          <w:iCs/>
          <w:sz w:val="20"/>
          <w:szCs w:val="20"/>
        </w:rPr>
        <w:t xml:space="preserve"> *"My Lord, ১ নং রেসপন্ডেন্ট সোলায়মান হোসেন (আব্দুল আলীর পুত্র) সোলেনামা দাখিল করিয়া বাটোয়ারায় সম্মতি দিয়াছেন (CPC Order XXIII Rule 3)। ইহা প্রমাণ করে যে মূল রেকর্ডভুক্ত প্রজার বংশধরদের মধ্যে কোনো বিরোধ নাই; বিরোধ কেবল বাইরের অপ্রমাণিত দাবিদারদের সহিত।"*</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ট্রায়াল কোর্টের সিদ্ধান্ত বনাম আপীল ভুলের তুলনামূলক ছক (Finding vs. Error Matrix)</w:t>
      </w:r>
    </w:p>
    <w:p>
      <w:r>
        <w:rPr>
          <w:rFonts w:ascii="Kalpurush" w:cs="Kalpurush" w:eastAsia="Kalpurush" w:hAnsi="Kalpurush"/>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r>
              <w:rPr>
                <w:rFonts w:ascii="Kalpurush" w:cs="Kalpurush" w:eastAsia="Kalpurush" w:hAnsi="Kalpurush"/>
                <w:sz w:val="20"/>
                <w:szCs w:val="20"/>
              </w:rPr>
              <w:t xml:space="preserve">ট্রায়াল কোর্টের সিদ্ধান্ত (ইস্যুভিত্তিক)</w:t>
            </w:r>
          </w:p>
        </w:tc>
        <w:tc>
          <w:p>
            <w:r>
              <w:rPr>
                <w:rFonts w:ascii="Kalpurush" w:cs="Kalpurush" w:eastAsia="Kalpurush" w:hAnsi="Kalpurush"/>
                <w:sz w:val="20"/>
                <w:szCs w:val="20"/>
              </w:rPr>
              <w:t xml:space="preserve">আপীল আদালতের দৃষ্টিতে ত্রুটি (Appellate Error)</w:t>
            </w:r>
          </w:p>
        </w:tc>
      </w:tr>
      <w:tr>
        <w:tc>
          <w:p>
            <w:r>
              <w:rPr>
                <w:rFonts w:ascii="Kalpurush" w:cs="Kalpurush" w:eastAsia="Kalpurush" w:hAnsi="Kalpurush"/>
                <w:b/>
                <w:bCs/>
                <w:sz w:val="20"/>
                <w:szCs w:val="20"/>
              </w:rPr>
              <w:t xml:space="preserve">ইস্যু ১ (মূল প্রজা স্বত্ব):</w:t>
            </w:r>
            <w:r>
              <w:rPr>
                <w:rFonts w:ascii="Kalpurush" w:cs="Kalpurush" w:eastAsia="Kalpurush" w:hAnsi="Kalpurush"/>
                <w:sz w:val="20"/>
                <w:szCs w:val="20"/>
              </w:rPr>
              <w:t xml:space="preserve"> আব্দুল করিমকে মূল রায়ত গণ্য করা</w:t>
            </w:r>
          </w:p>
        </w:tc>
        <w:tc>
          <w:p>
            <w:r>
              <w:rPr>
                <w:rFonts w:ascii="Kalpurush" w:cs="Kalpurush" w:eastAsia="Kalpurush" w:hAnsi="Kalpurush"/>
                <w:sz w:val="20"/>
                <w:szCs w:val="20"/>
              </w:rPr>
              <w:t xml:space="preserve">Foundation presumed, not proved — কোনো বৈধ পাট্টা/দাখিলা নাই</w:t>
            </w:r>
          </w:p>
        </w:tc>
      </w:tr>
      <w:tr>
        <w:tc>
          <w:p>
            <w:r>
              <w:rPr>
                <w:rFonts w:ascii="Kalpurush" w:cs="Kalpurush" w:eastAsia="Kalpurush" w:hAnsi="Kalpurush"/>
                <w:b/>
                <w:bCs/>
                <w:sz w:val="20"/>
                <w:szCs w:val="20"/>
              </w:rPr>
              <w:t xml:space="preserve">ইস্যু ২ (SA ২৩৮-এর কার্যকারিতা):</w:t>
            </w:r>
            <w:r>
              <w:rPr>
                <w:rFonts w:ascii="Kalpurush" w:cs="Kalpurush" w:eastAsia="Kalpurush" w:hAnsi="Kalpurush"/>
                <w:sz w:val="20"/>
                <w:szCs w:val="20"/>
              </w:rPr>
              <w:t xml:space="preserve"> SA ২৩৮ ভুল বলিয়া খারিজ</w:t>
            </w:r>
          </w:p>
        </w:tc>
        <w:tc>
          <w:p>
            <w:r>
              <w:rPr>
                <w:rFonts w:ascii="Kalpurush" w:cs="Kalpurush" w:eastAsia="Kalpurush" w:hAnsi="Kalpurush"/>
                <w:sz w:val="20"/>
                <w:szCs w:val="20"/>
              </w:rPr>
              <w:t xml:space="preserve">Section 144A presumption পর্যাপ্ত নির্ভরযোগ্য সাক্ষ্য ব্যতিরেকে খারিজ</w:t>
            </w:r>
          </w:p>
        </w:tc>
      </w:tr>
      <w:tr>
        <w:tc>
          <w:p>
            <w:r>
              <w:rPr>
                <w:rFonts w:ascii="Kalpurush" w:cs="Kalpurush" w:eastAsia="Kalpurush" w:hAnsi="Kalpurush"/>
                <w:b/>
                <w:bCs/>
                <w:sz w:val="20"/>
                <w:szCs w:val="20"/>
              </w:rPr>
              <w:t xml:space="preserve">ইস্যু ৩ (১৯৬৯ মিস কেস ও ভলিউম):</w:t>
            </w:r>
            <w:r>
              <w:rPr>
                <w:rFonts w:ascii="Kalpurush" w:cs="Kalpurush" w:eastAsia="Kalpurush" w:hAnsi="Kalpurush"/>
                <w:sz w:val="20"/>
                <w:szCs w:val="20"/>
              </w:rPr>
              <w:t xml:space="preserve"> AC Land ভলিউম এন্ট্রিকে প্রাধান্য</w:t>
            </w:r>
          </w:p>
        </w:tc>
        <w:tc>
          <w:p>
            <w:r>
              <w:rPr>
                <w:rFonts w:ascii="Kalpurush" w:cs="Kalpurush" w:eastAsia="Kalpurush" w:hAnsi="Kalpurush"/>
                <w:sz w:val="20"/>
                <w:szCs w:val="20"/>
              </w:rPr>
              <w:t xml:space="preserve">Parent order, jurisdiction ও provenance অপ্রমাণিত থাকা সত্ত্বেও গ্রহণ</w:t>
            </w:r>
          </w:p>
        </w:tc>
      </w:tr>
      <w:tr>
        <w:tc>
          <w:p>
            <w:r>
              <w:rPr>
                <w:rFonts w:ascii="Kalpurush" w:cs="Kalpurush" w:eastAsia="Kalpurush" w:hAnsi="Kalpurush"/>
                <w:b/>
                <w:bCs/>
                <w:sz w:val="20"/>
                <w:szCs w:val="20"/>
              </w:rPr>
              <w:t xml:space="preserve">দলিলগত বিবেচনা:</w:t>
            </w:r>
            <w:r>
              <w:rPr>
                <w:rFonts w:ascii="Kalpurush" w:cs="Kalpurush" w:eastAsia="Kalpurush" w:hAnsi="Kalpurush"/>
                <w:sz w:val="20"/>
                <w:szCs w:val="20"/>
              </w:rPr>
              <w:t xml:space="preserve"> ১৯৭৫ দলিলের বৈপরীত্য উপেক্ষা</w:t>
            </w:r>
          </w:p>
        </w:tc>
        <w:tc>
          <w:p>
            <w:r>
              <w:rPr>
                <w:rFonts w:ascii="Kalpurush" w:cs="Kalpurush" w:eastAsia="Kalpurush" w:hAnsi="Kalpurush"/>
                <w:sz w:val="20"/>
                <w:szCs w:val="20"/>
              </w:rPr>
              <w:t xml:space="preserve">১-দাগ বনাম ৬-দাগের স্ববিরোধিতার কোনো বিচারিক ব্যাখ্যা রায়ে নাই</w:t>
            </w:r>
          </w:p>
        </w:tc>
      </w:tr>
      <w:tr>
        <w:tc>
          <w:p>
            <w:r>
              <w:rPr>
                <w:rFonts w:ascii="Kalpurush" w:cs="Kalpurush" w:eastAsia="Kalpurush" w:hAnsi="Kalpurush"/>
                <w:b/>
                <w:bCs/>
                <w:sz w:val="20"/>
                <w:szCs w:val="20"/>
              </w:rPr>
              <w:t xml:space="preserve">ইস্যু ৪ (Hotchpot ও পক্ষদোষ):</w:t>
            </w:r>
            <w:r>
              <w:rPr>
                <w:rFonts w:ascii="Kalpurush" w:cs="Kalpurush" w:eastAsia="Kalpurush" w:hAnsi="Kalpurush"/>
                <w:sz w:val="20"/>
                <w:szCs w:val="20"/>
              </w:rPr>
              <w:t xml:space="preserve"> আংশিক বাটোয়ারায় খারিজ</w:t>
            </w:r>
          </w:p>
        </w:tc>
        <w:tc>
          <w:p>
            <w:r>
              <w:rPr>
                <w:rFonts w:ascii="Kalpurush" w:cs="Kalpurush" w:eastAsia="Kalpurush" w:hAnsi="Kalpurush"/>
                <w:sz w:val="20"/>
                <w:szCs w:val="20"/>
              </w:rPr>
              <w:t xml:space="preserve">পৃথক খতিয়ানের সরকারি জমি বাদ থাকায় technical objection fatal নহে</w:t>
            </w:r>
          </w:p>
        </w:tc>
      </w:tr>
    </w:tbl>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সমাপনী মৌখিক নিবেদন ও প্রার্থিত প্রতিকার (Closing &amp; Prayer)</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"My Lord, the respondents may have a theory; but a theory is not rebuttal evidence."</w:t>
      </w:r>
      <w:r>
        <w:rPr>
          <w:rFonts w:ascii="Kalpurush" w:cs="Kalpurush" w:eastAsia="Kalpurush" w:hAnsi="Kalpurush"/>
          <w:i/>
          <w:iCs/>
          <w:sz w:val="20"/>
          <w:szCs w:val="20"/>
        </w:rPr>
        <w:t xml:space="preserve">  </w:t>
      </w:r>
    </w:p>
    <w:p>
      <w:pPr>
        <w:ind w:left="720"/>
      </w:pPr>
      <w:r>
        <w:rPr>
          <w:rFonts w:ascii="Kalpurush" w:cs="Kalpurush" w:eastAsia="Kalpurush" w:hAnsi="Kalpurush"/>
          <w:b/>
          <w:bCs/>
          <w:i/>
          <w:iCs/>
          <w:sz w:val="20"/>
          <w:szCs w:val="20"/>
        </w:rPr>
        <w:t xml:space="preserve">"We do not ask the Court to hold that a finally published SA record can never be wrong. We ask the Court to require the party challenging that record to prove how, when and by what lawful instrument it was displaced."</w:t>
      </w:r>
    </w:p>
    <w:p>
      <w:r>
        <w:rPr>
          <w:rFonts w:ascii="Kalpurush" w:cs="Kalpurush" w:eastAsia="Kalpurush" w:hAnsi="Kalpurush"/>
        </w:rPr>
        <w:t xml:space="preserve"/>
      </w:r>
    </w:p>
    <w:p>
      <w:r>
        <w:rPr>
          <w:rFonts w:ascii="Kalpurush" w:cs="Kalpurush" w:eastAsia="Kalpurush" w:hAnsi="Kalpurush"/>
          <w:b/>
          <w:bCs/>
          <w:sz w:val="20"/>
          <w:szCs w:val="20"/>
        </w:rPr>
        <w:t xml:space="preserve">প্রার্থিত প্রতিকার:</w:t>
      </w:r>
    </w:p>
    <w:p>
      <w:pPr>
        <w:pStyle w:val="ListParagraph"/>
        <w:numPr>
          <w:ilvl w:val="0"/>
          <w:numId w:val="1"/>
        </w:numPr>
      </w:pPr>
      <w:r>
        <w:rPr>
          <w:rFonts w:ascii="Kalpurush" w:cs="Kalpurush" w:eastAsia="Kalpurush" w:hAnsi="Kalpurush"/>
          <w:b/>
          <w:bCs/>
          <w:sz w:val="20"/>
          <w:szCs w:val="20"/>
        </w:rPr>
        <w:t xml:space="preserve">(ক)</w:t>
      </w:r>
      <w:r>
        <w:rPr>
          <w:rFonts w:ascii="Kalpurush" w:cs="Kalpurush" w:eastAsia="Kalpurush" w:hAnsi="Kalpurush"/>
          <w:sz w:val="20"/>
          <w:szCs w:val="20"/>
        </w:rPr>
        <w:t xml:space="preserve"> ০৫/০৪/২০২৬ তারিখের রায় ও ০৯/০৪/২০২৬ তারিখের ডিক্রি বাতিল ও রহিত করা হউক;</w:t>
      </w:r>
    </w:p>
    <w:p>
      <w:pPr>
        <w:pStyle w:val="ListParagraph"/>
        <w:numPr>
          <w:ilvl w:val="0"/>
          <w:numId w:val="1"/>
        </w:numPr>
      </w:pPr>
      <w:r>
        <w:rPr>
          <w:rFonts w:ascii="Kalpurush" w:cs="Kalpurush" w:eastAsia="Kalpurush" w:hAnsi="Kalpurush"/>
          <w:b/>
          <w:bCs/>
          <w:sz w:val="20"/>
          <w:szCs w:val="20"/>
        </w:rPr>
        <w:t xml:space="preserve">(খ)</w:t>
      </w:r>
      <w:r>
        <w:rPr>
          <w:rFonts w:ascii="Kalpurush" w:cs="Kalpurush" w:eastAsia="Kalpurush" w:hAnsi="Kalpurush"/>
          <w:sz w:val="20"/>
          <w:szCs w:val="20"/>
        </w:rPr>
        <w:t xml:space="preserve"> বহাল SA ২৩৮ এবং ১ নং রেসপন্ডেন্ট সোলায়মান হোসেনের সোলেনামার (CPC Order XXIII Rule 3) ভিত্তিতে মূল রেকর্ডভুক্ত রায়ত আব্দুল আলীর বৈধ ওয়ারিশগণের মধ্যে </w:t>
      </w:r>
      <w:r>
        <w:rPr>
          <w:rFonts w:ascii="Kalpurush" w:cs="Kalpurush" w:eastAsia="Kalpurush" w:hAnsi="Kalpurush"/>
          <w:b/>
          <w:bCs/>
          <w:sz w:val="20"/>
          <w:szCs w:val="20"/>
        </w:rPr>
        <w:t xml:space="preserve">১৬ আনা হিস্যার বণ্টন</w:t>
      </w:r>
      <w:r>
        <w:rPr>
          <w:rFonts w:ascii="Kalpurush" w:cs="Kalpurush" w:eastAsia="Kalpurush" w:hAnsi="Kalpurush"/>
          <w:sz w:val="20"/>
          <w:szCs w:val="20"/>
        </w:rPr>
        <w:t xml:space="preserve"> নির্ধারণপূর্বক প্রাথমিক ডিক্রি (Preliminary Decree) প্রদান করা হউক;</w:t>
      </w:r>
    </w:p>
    <w:p>
      <w:pPr>
        <w:pStyle w:val="ListParagraph"/>
        <w:numPr>
          <w:ilvl w:val="0"/>
          <w:numId w:val="1"/>
        </w:numPr>
      </w:pPr>
      <w:r>
        <w:rPr>
          <w:rFonts w:ascii="Kalpurush" w:cs="Kalpurush" w:eastAsia="Kalpurush" w:hAnsi="Kalpurush"/>
          <w:b/>
          <w:bCs/>
          <w:sz w:val="20"/>
          <w:szCs w:val="20"/>
        </w:rPr>
        <w:t xml:space="preserve">(গ)</w:t>
      </w:r>
      <w:r>
        <w:rPr>
          <w:rFonts w:ascii="Kalpurush" w:cs="Kalpurush" w:eastAsia="Kalpurush" w:hAnsi="Kalpurush"/>
          <w:sz w:val="20"/>
          <w:szCs w:val="20"/>
        </w:rPr>
        <w:t xml:space="preserve"> সরকারি ১ নং খাস খতিয়ানভুক্ত ১৩৭ শতক জমি বাটোয়ারার আওতাবহির্ভূত রাখিয়া কেবল ব্যক্তিগত ৩৪০ শতক জমিতে বিজ্ঞ অ্যাডভোকেট কমিশনার নিয়োগের মাধ্যমে সহম বণ্টনের নির্দেশ দেওয়া হউক;</w:t>
      </w:r>
    </w:p>
    <w:p>
      <w:pPr>
        <w:pStyle w:val="ListParagraph"/>
        <w:numPr>
          <w:ilvl w:val="0"/>
          <w:numId w:val="1"/>
        </w:numPr>
      </w:pPr>
      <w:r>
        <w:rPr>
          <w:rFonts w:ascii="Kalpurush" w:cs="Kalpurush" w:eastAsia="Kalpurush" w:hAnsi="Kalpurush"/>
          <w:b/>
          <w:bCs/>
          <w:sz w:val="20"/>
          <w:szCs w:val="20"/>
        </w:rPr>
        <w:t xml:space="preserve">(ঘ) বিকল্পে:</w:t>
      </w:r>
      <w:r>
        <w:rPr>
          <w:rFonts w:ascii="Kalpurush" w:cs="Kalpurush" w:eastAsia="Kalpurush" w:hAnsi="Kalpurush"/>
          <w:sz w:val="20"/>
          <w:szCs w:val="20"/>
        </w:rPr>
        <w:t xml:space="preserve"> CPC Order XLI Rule 23/23A অনুযায়ী মামলাটি বিচারিক আদালতে রিমান্ড (Remand) করা হউক।</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 শুনানির জন্য “Nine-Step Locked Sequence” (মৌখিক শুনানির মূল ক্রম)</w:t>
      </w:r>
    </w:p>
    <w:p>
      <w:r>
        <w:rPr>
          <w:rFonts w:ascii="Kalpurush" w:cs="Kalpurush" w:eastAsia="Kalpurush" w:hAnsi="Kalpurush"/>
        </w:rPr>
        <w:t xml:space="preserve"/>
      </w:r>
    </w:p>
    <w:p>
      <w:r>
        <w:rPr>
          <w:rFonts w:ascii="Kalpurush" w:cs="Kalpurush" w:eastAsia="Kalpurush" w:hAnsi="Kalpurush"/>
          <w:b/>
          <w:bCs/>
          <w:sz w:val="20"/>
          <w:szCs w:val="20"/>
        </w:rPr>
        <w:t xml:space="preserve">১. SA 238 → Section 144A presumption</w:t>
      </w:r>
      <w:r>
        <w:rPr>
          <w:rFonts w:ascii="Kalpurush" w:cs="Kalpurush" w:eastAsia="Kalpurush" w:hAnsi="Kalpurush"/>
          <w:sz w:val="20"/>
          <w:szCs w:val="20"/>
        </w:rPr>
        <w:t xml:space="preserve">  </w:t>
      </w:r>
    </w:p>
    <w:p>
      <w:r>
        <w:rPr>
          <w:rFonts w:ascii="Kalpurush" w:cs="Kalpurush" w:eastAsia="Kalpurush" w:hAnsi="Kalpurush"/>
          <w:b/>
          <w:bCs/>
          <w:sz w:val="20"/>
          <w:szCs w:val="20"/>
        </w:rPr>
        <w:t xml:space="preserve">২. Respondents allege later correction</w:t>
      </w:r>
      <w:r>
        <w:rPr>
          <w:rFonts w:ascii="Kalpurush" w:cs="Kalpurush" w:eastAsia="Kalpurush" w:hAnsi="Kalpurush"/>
          <w:sz w:val="20"/>
          <w:szCs w:val="20"/>
        </w:rPr>
        <w:t xml:space="preserve">  </w:t>
      </w:r>
    </w:p>
    <w:p>
      <w:r>
        <w:rPr>
          <w:rFonts w:ascii="Kalpurush" w:cs="Kalpurush" w:eastAsia="Kalpurush" w:hAnsi="Kalpurush"/>
          <w:b/>
          <w:bCs/>
          <w:sz w:val="20"/>
          <w:szCs w:val="20"/>
        </w:rPr>
        <w:t xml:space="preserve">৩. Where is the parent order?</w:t>
      </w:r>
      <w:r>
        <w:rPr>
          <w:rFonts w:ascii="Kalpurush" w:cs="Kalpurush" w:eastAsia="Kalpurush" w:hAnsi="Kalpurush"/>
          <w:sz w:val="20"/>
          <w:szCs w:val="20"/>
        </w:rPr>
        <w:t xml:space="preserve">  </w:t>
      </w:r>
    </w:p>
    <w:p>
      <w:r>
        <w:rPr>
          <w:rFonts w:ascii="Kalpurush" w:cs="Kalpurush" w:eastAsia="Kalpurush" w:hAnsi="Kalpurush"/>
          <w:b/>
          <w:bCs/>
          <w:sz w:val="20"/>
          <w:szCs w:val="20"/>
        </w:rPr>
        <w:t xml:space="preserve">৪. What exactly did that order decide?</w:t>
      </w:r>
      <w:r>
        <w:rPr>
          <w:rFonts w:ascii="Kalpurush" w:cs="Kalpurush" w:eastAsia="Kalpurush" w:hAnsi="Kalpurush"/>
          <w:sz w:val="20"/>
          <w:szCs w:val="20"/>
        </w:rPr>
        <w:t xml:space="preserve">  </w:t>
      </w:r>
    </w:p>
    <w:p>
      <w:r>
        <w:rPr>
          <w:rFonts w:ascii="Kalpurush" w:cs="Kalpurush" w:eastAsia="Kalpurush" w:hAnsi="Kalpurush"/>
          <w:b/>
          <w:bCs/>
          <w:sz w:val="20"/>
          <w:szCs w:val="20"/>
        </w:rPr>
        <w:t xml:space="preserve">৫. What lawful process implemented it?</w:t>
      </w:r>
      <w:r>
        <w:rPr>
          <w:rFonts w:ascii="Kalpurush" w:cs="Kalpurush" w:eastAsia="Kalpurush" w:hAnsi="Kalpurush"/>
          <w:sz w:val="20"/>
          <w:szCs w:val="20"/>
        </w:rPr>
        <w:t xml:space="preserve">  </w:t>
      </w:r>
    </w:p>
    <w:p>
      <w:r>
        <w:rPr>
          <w:rFonts w:ascii="Kalpurush" w:cs="Kalpurush" w:eastAsia="Kalpurush" w:hAnsi="Kalpurush"/>
          <w:b/>
          <w:bCs/>
          <w:sz w:val="20"/>
          <w:szCs w:val="20"/>
        </w:rPr>
        <w:t xml:space="preserve">৬. Where is the authoritative documentary manifestation of the alleged substantive change?</w:t>
      </w:r>
      <w:r>
        <w:rPr>
          <w:rFonts w:ascii="Kalpurush" w:cs="Kalpurush" w:eastAsia="Kalpurush" w:hAnsi="Kalpurush"/>
          <w:sz w:val="20"/>
          <w:szCs w:val="20"/>
        </w:rPr>
        <w:t xml:space="preserve">  </w:t>
      </w:r>
    </w:p>
    <w:p>
      <w:r>
        <w:rPr>
          <w:rFonts w:ascii="Kalpurush" w:cs="Kalpurush" w:eastAsia="Kalpurush" w:hAnsi="Kalpurush"/>
          <w:b/>
          <w:bCs/>
          <w:sz w:val="20"/>
          <w:szCs w:val="20"/>
        </w:rPr>
        <w:t xml:space="preserve">৭. Why does the present District Record Room still record Abdul Ali?</w:t>
      </w:r>
      <w:r>
        <w:rPr>
          <w:rFonts w:ascii="Kalpurush" w:cs="Kalpurush" w:eastAsia="Kalpurush" w:hAnsi="Kalpurush"/>
          <w:sz w:val="20"/>
          <w:szCs w:val="20"/>
        </w:rPr>
        <w:t xml:space="preserve">  </w:t>
      </w:r>
    </w:p>
    <w:p>
      <w:r>
        <w:rPr>
          <w:rFonts w:ascii="Kalpurush" w:cs="Kalpurush" w:eastAsia="Kalpurush" w:hAnsi="Kalpurush"/>
          <w:b/>
          <w:bCs/>
          <w:sz w:val="20"/>
          <w:szCs w:val="20"/>
        </w:rPr>
        <w:t xml:space="preserve">৮. Why does the respondents’ own 1975 deed describe six dags if their theory is one dag?</w:t>
      </w:r>
      <w:r>
        <w:rPr>
          <w:rFonts w:ascii="Kalpurush" w:cs="Kalpurush" w:eastAsia="Kalpurush" w:hAnsi="Kalpurush"/>
          <w:sz w:val="20"/>
          <w:szCs w:val="20"/>
        </w:rPr>
        <w:t xml:space="preserve">  </w:t>
      </w:r>
    </w:p>
    <w:p>
      <w:r>
        <w:rPr>
          <w:rFonts w:ascii="Kalpurush" w:cs="Kalpurush" w:eastAsia="Kalpurush" w:hAnsi="Kalpurush"/>
          <w:b/>
          <w:bCs/>
          <w:sz w:val="20"/>
          <w:szCs w:val="20"/>
        </w:rPr>
        <w:t xml:space="preserve">৯. Even assuming Abdul Karim had some pre-SA interest, where is the lawful bridge from that interest to Sonabhanu’s present substantive interest? (The Layer 2 Fallback)</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r>
        <w:rPr>
          <w:rFonts w:ascii="Kalpurush" w:cs="Kalpurush" w:eastAsia="Kalpurush" w:hAnsi="Kalpurush"/>
          <w:b/>
          <w:bCs/>
          <w:sz w:val="20"/>
          <w:szCs w:val="20"/>
        </w:rPr>
        <w:t xml:space="preserve">আপীল্যান্টপক্ষের আইনজীবী | জেলা জজ আদালত, টাঙ্গাইল | আপীল মামলা নং ৩৮/২০২৬</w:t>
      </w:r>
    </w:p>
    <w:p>
      <w:r>
        <w:rPr>
          <w:rFonts w:ascii="Kalpurush" w:cs="Kalpurush" w:eastAsia="Kalpurush" w:hAnsi="Kalpurush"/>
        </w:rPr>
        <w:t xml:space="preserve"/>
      </w:r>
    </w:p>
    <w:sectPr>
      <w:pgSz w:w="12240" w:h="2016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Kalpurush" w:cs="Kalpurush" w:eastAsia="Kalpurush" w:hAnsi="Kalpurush"/>
        <w:sz w:val="20"/>
        <w:szCs w:val="20"/>
      </w:rPr>
    </w:rPrDefault>
    <w:pPrDefault>
      <w:pPr>
        <w:spacing w:after="0" w:before="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2026-08-17T11:50:38.915Z</dcterms:created>
  <dcterms:modified xsi:type="dcterms:W3CDTF">2026-08-17T11:50:38.915Z</dcterms:modified>
</cp:coreProperties>
</file>

<file path=docProps/custom.xml><?xml version="1.0" encoding="utf-8"?>
<Properties xmlns="http://schemas.openxmlformats.org/officeDocument/2006/custom-properties" xmlns:vt="http://schemas.openxmlformats.org/officeDocument/2006/docPropsVTypes"/>
</file>