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w:t>
      </w:r>
    </w:p>
    <w:p>
      <w:r>
        <w:rPr>
          <w:rFonts w:ascii="Kalpurush" w:cs="Kalpurush" w:eastAsia="Kalpurush" w:hAnsi="Kalpurush"/>
          <w:sz w:val="20"/>
          <w:szCs w:val="20"/>
        </w:rPr>
        <w:t xml:space="preserve">বনাম</w:t>
      </w:r>
    </w:p>
    <w:p>
      <w:r>
        <w:rPr>
          <w:rFonts w:ascii="Kalpurush" w:cs="Kalpurush" w:eastAsia="Kalpurush" w:hAnsi="Kalpurush"/>
          <w:b/>
          <w:bCs/>
          <w:sz w:val="20"/>
          <w:szCs w:val="20"/>
        </w:rPr>
        <w:t xml:space="preserve">আলহাজ উদ্দিন ও অন্যান্য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পূর্ণাঙ্গ লিখিত যুক্তিতর্ক</w:t>
      </w:r>
    </w:p>
    <w:p>
      <w:r>
        <w:rPr>
          <w:rFonts w:ascii="Kalpurush" w:cs="Kalpurush" w:eastAsia="Kalpurush" w:hAnsi="Kalpurush"/>
          <w:b/>
          <w:bCs/>
          <w:sz w:val="20"/>
          <w:szCs w:val="20"/>
        </w:rPr>
        <w:t xml:space="preserve">Version 90 — Evidence-Centred Appellate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নিবেদন</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অত্র আপীলের ন্যায়ানুগ নিষ্পত্তির নিমিত্তে সমগ্র জমিদারি ইতিহাস, ১৯৩৪ সালের কথিত পত্তনের অস্পষ্টতা কিংবা পারিবারিক বংশতালিকার আদ্যোপান্ত পুনর্গঠনের কোনো আইনি আবশ্যকতা নাই। এই আপীলের প্রকৃত বিচার্য বিষয় অনেক বেশি সুনির্দিষ্ট এবং দালিলিক প্রমাণের উপর নির্ভরশীল।</w:t>
      </w:r>
    </w:p>
    <w:p>
      <w:r>
        <w:rPr>
          <w:rFonts w:ascii="Kalpurush" w:cs="Kalpurush" w:eastAsia="Kalpurush" w:hAnsi="Kalpurush"/>
        </w:rPr>
        <w:t xml:space="preserve"/>
      </w:r>
    </w:p>
    <w:p>
      <w:r>
        <w:rPr>
          <w:rFonts w:ascii="Kalpurush" w:cs="Kalpurush" w:eastAsia="Kalpurush" w:hAnsi="Kalpurush"/>
          <w:sz w:val="20"/>
          <w:szCs w:val="20"/>
        </w:rPr>
        <w:t xml:space="preserve">রাষ্ট্রের অধিগ্রহণ-পরবর্তী জরিপে প্রস্তুত ও চূড়ান্তভাবে প্রকাশিত </w:t>
      </w:r>
      <w:r>
        <w:rPr>
          <w:rFonts w:ascii="Kalpurush" w:cs="Kalpurush" w:eastAsia="Kalpurush" w:hAnsi="Kalpurush"/>
          <w:b/>
          <w:bCs/>
          <w:sz w:val="20"/>
          <w:szCs w:val="20"/>
        </w:rPr>
        <w:t xml:space="preserve">SA ২৩৮ নং খতিয়ানে আব্দুল আলী এককভাবে (১৬ আনা) রায়ত হিসাবে রেকর্ডভুক্ত</w:t>
      </w:r>
      <w:r>
        <w:rPr>
          <w:rFonts w:ascii="Kalpurush" w:cs="Kalpurush" w:eastAsia="Kalpurush" w:hAnsi="Kalpurush"/>
          <w:sz w:val="20"/>
          <w:szCs w:val="20"/>
        </w:rPr>
        <w:t xml:space="preserve"> রহিয়াছেন। State Acquisition and Tenancy Act, 1950-এর Section 144A মোতাবেক, চূড়ান্তভাবে প্রকাশিত record-of-rights-এর কোনো ভুক্তি (entry) সাক্ষ্য হিসাবে গ্রহণযোগ্য এবং তাহা ভুল প্রমাণিত না হওয়া পর্যন্ত সঠিক বলিয়া অনুমিত (presumed) হইবে।</w:t>
      </w:r>
    </w:p>
    <w:p>
      <w:r>
        <w:rPr>
          <w:rFonts w:ascii="Kalpurush" w:cs="Kalpurush" w:eastAsia="Kalpurush" w:hAnsi="Kalpurush"/>
        </w:rPr>
        <w:t xml:space="preserve"/>
      </w:r>
    </w:p>
    <w:p>
      <w:r>
        <w:rPr>
          <w:rFonts w:ascii="Kalpurush" w:cs="Kalpurush" w:eastAsia="Kalpurush" w:hAnsi="Kalpurush"/>
          <w:sz w:val="20"/>
          <w:szCs w:val="20"/>
        </w:rPr>
        <w:t xml:space="preserve">বর্তমান আইনে record-of-rights maintenance ও mutation/correction-এর জন্য statutory procedures বিদ্যমান। তবে বর্তমান appeal-এর প্রশ্ন কোনো বর্তমান mutation proceeding-এর legality নয়; প্রশ্ন হলো—বিবাদীপক্ষ যে ১৯৬৯ সালের নির্দিষ্ট correction-এর উপর বর্তমান substantive interest দাবি করছে, সেই historical correction কোন আইন, কোন competent authority এবং কোন proceeding-এর মাধ্যমে সম্পন্ন হয়েছিল—তা তারা প্রমাণ করেছে কি না।</w:t>
      </w:r>
    </w:p>
    <w:p>
      <w:r>
        <w:rPr>
          <w:rFonts w:ascii="Kalpurush" w:cs="Kalpurush" w:eastAsia="Kalpurush" w:hAnsi="Kalpurush"/>
        </w:rPr>
        <w:t xml:space="preserve"/>
      </w:r>
    </w:p>
    <w:p>
      <w:r>
        <w:rPr>
          <w:rFonts w:ascii="Kalpurush" w:cs="Kalpurush" w:eastAsia="Kalpurush" w:hAnsi="Kalpurush"/>
          <w:b/>
          <w:bCs/>
          <w:sz w:val="20"/>
          <w:szCs w:val="20"/>
        </w:rPr>
        <w:t xml:space="preserve">আমাদের বক্তব্য অত্যন্ত সুস্পষ্ট ও সীমিত: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বিবাদীপক্ষ বর্তমান মামলায় যে সুনির্দিষ্ট substantive পরিবর্তনের উপর ভিত্তি করিয়া স্বত্ব দাবি প্রতিষ্ঠিত করিতে চাহিতেছে, সেই পরিবর্তনের আইনি উৎস (legal source), কার্যপ্রণালী (proceeding), এখতিয়ার (authority) এবং দালিলিক প্রমাণ (documentary manifestation) আদালতে আদৌ প্রমাণিত হয় নাই।</w:t>
      </w:r>
    </w:p>
    <w:p>
      <w:r>
        <w:rPr>
          <w:rFonts w:ascii="Kalpurush" w:cs="Kalpurush" w:eastAsia="Kalpurush" w:hAnsi="Kalpurush"/>
        </w:rPr>
        <w:t xml:space="preserve"/>
      </w:r>
    </w:p>
    <w:p>
      <w:r>
        <w:rPr>
          <w:rFonts w:ascii="Kalpurush" w:cs="Kalpurush" w:eastAsia="Kalpurush" w:hAnsi="Kalpurush"/>
          <w:sz w:val="20"/>
          <w:szCs w:val="20"/>
        </w:rPr>
        <w:t xml:space="preserve">সুতরাং, অত্র আপীলের মূল প্রশ্ন কেবল </w:t>
      </w:r>
      <w:r>
        <w:rPr>
          <w:rFonts w:ascii="Kalpurush" w:cs="Kalpurush" w:eastAsia="Kalpurush" w:hAnsi="Kalpurush"/>
          <w:b/>
          <w:bCs/>
          <w:sz w:val="20"/>
          <w:szCs w:val="20"/>
        </w:rPr>
        <w:t xml:space="preserve">"SA ২৩৮ ভুল কি না?"</w:t>
      </w:r>
      <w:r>
        <w:rPr>
          <w:rFonts w:ascii="Kalpurush" w:cs="Kalpurush" w:eastAsia="Kalpurush" w:hAnsi="Kalpurush"/>
          <w:sz w:val="20"/>
          <w:szCs w:val="20"/>
        </w:rPr>
        <w:t xml:space="preserve">—ইহা নহে। </w:t>
      </w:r>
    </w:p>
    <w:p>
      <w:r>
        <w:rPr>
          <w:rFonts w:ascii="Kalpurush" w:cs="Kalpurush" w:eastAsia="Kalpurush" w:hAnsi="Kalpurush"/>
        </w:rPr>
        <w:t xml:space="preserve"/>
      </w:r>
    </w:p>
    <w:p>
      <w:r>
        <w:rPr>
          <w:rFonts w:ascii="Kalpurush" w:cs="Kalpurush" w:eastAsia="Kalpurush" w:hAnsi="Kalpurush"/>
          <w:sz w:val="20"/>
          <w:szCs w:val="20"/>
        </w:rPr>
        <w:t xml:space="preserve">প্রকৃত আইনি প্রশ্নটি হইল:</w:t>
      </w:r>
    </w:p>
    <w:p>
      <w:pPr>
        <w:ind w:left="720"/>
      </w:pPr>
      <w:r>
        <w:rPr>
          <w:rFonts w:ascii="Kalpurush" w:cs="Kalpurush" w:eastAsia="Kalpurush" w:hAnsi="Kalpurush"/>
          <w:b/>
          <w:bCs/>
          <w:i/>
          <w:iCs/>
          <w:sz w:val="20"/>
          <w:szCs w:val="20"/>
        </w:rPr>
        <w:t xml:space="preserve">"যে পক্ষ দাবি করিতেছে যে SA ২৩৮ পরবর্তীতে সংশোধিত বা displaced হইয়াছে, সেই নির্দিষ্ট corrective event-এর আইনি ভিত্তি, সিদ্ধান্ত এবং বৈধ বাস্তবায়নের প্রমাণ কোথায়?"</w:t>
      </w:r>
    </w:p>
    <w:p>
      <w:r>
        <w:rPr>
          <w:rFonts w:ascii="Kalpurush" w:cs="Kalpurush" w:eastAsia="Kalpurush" w:hAnsi="Kalpurush"/>
        </w:rPr>
        <w:t xml:space="preserve"/>
      </w:r>
    </w:p>
    <w:p>
      <w:r>
        <w:rPr>
          <w:rFonts w:ascii="Kalpurush" w:cs="Kalpurush" w:eastAsia="Kalpurush" w:hAnsi="Kalpurush"/>
          <w:sz w:val="20"/>
          <w:szCs w:val="20"/>
        </w:rPr>
        <w:t xml:space="preserve">এই প্রশ্নের উত্তরই অত্র আপীলের মীমাংসার মূল চাবিকাঠি।</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 প্রমাণের সঠিক ক্রম — The Two-Layer Test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বিবাদীপক্ষের defence গ্রহণযোগ্য হইতে হইলে তাহাদিগকে আইনি প্রমাণের দুইটি পৃথক স্তর (layer) অতিক্রম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Layer 1 — Competing Root:</w:t>
      </w:r>
      <w:r>
        <w:rPr>
          <w:rFonts w:ascii="Kalpurush" w:cs="Kalpurush" w:eastAsia="Kalpurush" w:hAnsi="Kalpurush"/>
          <w:sz w:val="20"/>
          <w:szCs w:val="20"/>
        </w:rPr>
        <w:t xml:space="preserve"> আব্দুল করিম কি বাস্তবে এমন কোনো legally cognizable tenancy interest অর্জন করিয়াছিলেন, যাহার ভিত্তিতে তাহার উত্তরসূরিদের বর্তমান স্বত্ব দাবি আইনত গ্রহণযোগ্য?</w:t>
      </w:r>
    </w:p>
    <w:p>
      <w:r>
        <w:rPr>
          <w:rFonts w:ascii="Kalpurush" w:cs="Kalpurush" w:eastAsia="Kalpurush" w:hAnsi="Kalpurush"/>
        </w:rPr>
        <w:t xml:space="preserve"/>
      </w:r>
    </w:p>
    <w:p>
      <w:r>
        <w:rPr>
          <w:rFonts w:ascii="Kalpurush" w:cs="Kalpurush" w:eastAsia="Kalpurush" w:hAnsi="Kalpurush"/>
          <w:b/>
          <w:bCs/>
          <w:sz w:val="20"/>
          <w:szCs w:val="20"/>
        </w:rPr>
        <w:t xml:space="preserve">Layer 2 — Displacement:</w:t>
      </w:r>
      <w:r>
        <w:rPr>
          <w:rFonts w:ascii="Kalpurush" w:cs="Kalpurush" w:eastAsia="Kalpurush" w:hAnsi="Kalpurush"/>
          <w:sz w:val="20"/>
          <w:szCs w:val="20"/>
        </w:rPr>
        <w:t xml:space="preserve"> তর্কের খাতিরে যদি মানিয়াও নেওয়া হয় যে আব্দুল করিমের pre-SA interest-এর অস্তিত্ব ছিল, তথাপি সেই interest কীভাবে আইনগতভাবে চূড়ান্ত SA রেকর্ডে আব্দুল আলীর নাম অতিক্রম করিয়া সোনাভানুর অনুকূলে একটি present enforceable interest সৃষ্টি করিল?</w:t>
      </w:r>
    </w:p>
    <w:p>
      <w:r>
        <w:rPr>
          <w:rFonts w:ascii="Kalpurush" w:cs="Kalpurush" w:eastAsia="Kalpurush" w:hAnsi="Kalpurush"/>
        </w:rPr>
        <w:t xml:space="preserve"/>
      </w:r>
    </w:p>
    <w:p>
      <w:r>
        <w:rPr>
          <w:rFonts w:ascii="Kalpurush" w:cs="Kalpurush" w:eastAsia="Kalpurush" w:hAnsi="Kalpurush"/>
          <w:sz w:val="20"/>
          <w:szCs w:val="20"/>
        </w:rPr>
        <w:t xml:space="preserve">এই দুইটি প্রশ্ন এক নহে। </w:t>
      </w:r>
      <w:r>
        <w:rPr>
          <w:rFonts w:ascii="Kalpurush" w:cs="Kalpurush" w:eastAsia="Kalpurush" w:hAnsi="Kalpurush"/>
          <w:b/>
          <w:bCs/>
          <w:sz w:val="20"/>
          <w:szCs w:val="20"/>
        </w:rPr>
        <w:t xml:space="preserve">প্রথমটির উত্তর "হইতে পারে" ধরিয়া লইয়া দ্বিতীয়টির উত্তর "অবশ্যই হইয়াছে" বলিয়া অনুমান করিবার কোনো সুযোগ নাই।</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অত্র আপীলের মূল আইনি নিরাপত্তা এই distinction-এর মধ্যেই নিহিত। আমরা যদি প্রথম প্রশ্নে পুরোপুরি সফল না-ও হই, তবুও দ্বিতীয় প্রশ্নের documentary foundation অনুপস্থিত থাকিলে বিবাদীপক্ষের title theory স্বতঃই ব্যর্থ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II. SA ২৩৮ নং খতিয়ানের আইনি মর্যাদা ও Burden of Proof</w:t>
      </w:r>
    </w:p>
    <w:p>
      <w:r>
        <w:rPr>
          <w:rFonts w:ascii="Kalpurush" w:cs="Kalpurush" w:eastAsia="Kalpurush" w:hAnsi="Kalpurush"/>
        </w:rPr>
        <w:t xml:space="preserve"/>
      </w:r>
    </w:p>
    <w:p>
      <w:r>
        <w:rPr>
          <w:rFonts w:ascii="Kalpurush" w:cs="Kalpurush" w:eastAsia="Kalpurush" w:hAnsi="Kalpurush"/>
          <w:sz w:val="20"/>
          <w:szCs w:val="20"/>
        </w:rPr>
        <w:t xml:space="preserve">বর্তমান record অনুযায়ী SA ২৩৮ হলো একটি গুরুত্বপূর্ণ statutory evidentiary starting point; ইহার বিরুদ্ধে যে party displacement দাবি করে, তাহাকে reliable evidence দ্বারা সেই displacement প্রতিষ্ঠা করিতে হয়।</w:t>
      </w:r>
    </w:p>
    <w:p>
      <w:r>
        <w:rPr>
          <w:rFonts w:ascii="Kalpurush" w:cs="Kalpurush" w:eastAsia="Kalpurush" w:hAnsi="Kalpurush"/>
        </w:rPr>
        <w:t xml:space="preserve"/>
      </w:r>
    </w:p>
    <w:p>
      <w:r>
        <w:rPr>
          <w:rFonts w:ascii="Kalpurush" w:cs="Kalpurush" w:eastAsia="Kalpurush" w:hAnsi="Kalpurush"/>
          <w:sz w:val="20"/>
          <w:szCs w:val="20"/>
        </w:rPr>
        <w:t xml:space="preserve">আপীল্যান্টদের উপর নিজেদের দাবি প্রমাণের আইনি burden অক্ষুণ্ণ থাকিলেও, বিবাদীপক্ষ যখন একটি নির্দিষ্ট পরবর্তী correction-এর affirmative case গ্রহণ করে, সেই particular corrective event-এর existence, legal source ও factual foundation প্রমাণের burden তাহাদের উপর বর্তায়। (Evidence Act, Section 103)। </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 certified/final SA record দাখিল করিয়াছে। পক্ষান্তরে বিবাদীপক্ষ দাবি করিতেছে যে, আব্দুল আলীর entry ভুল, আব্দুল করিম প্রকৃত tenant ছিলেন, ১৯৬৯ সালে সংশোধন হইয়াছে, এবং সোনাভানু interest পাইয়াছেন। এই affirmative chain-এর factual foundation প্রমাণ করিবার সুনির্দিষ্ট দায় বিবাদীপক্ষের।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III. Present Record বনাম Alleged Historical Correction — Burden Sequence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record এবং alleged historical correction-এর মধ্যে একটি গুরুত্বপূর্ণ evidentiary distinction আছে।</w:t>
      </w:r>
    </w:p>
    <w:p>
      <w:r>
        <w:rPr>
          <w:rFonts w:ascii="Kalpurush" w:cs="Kalpurush" w:eastAsia="Kalpurush" w:hAnsi="Kalpurush"/>
        </w:rPr>
        <w:t xml:space="preserve"/>
      </w:r>
    </w:p>
    <w:p>
      <w:r>
        <w:rPr>
          <w:rFonts w:ascii="Kalpurush" w:cs="Kalpurush" w:eastAsia="Kalpurush" w:hAnsi="Kalpurush"/>
          <w:sz w:val="20"/>
          <w:szCs w:val="20"/>
        </w:rPr>
        <w:t xml:space="preserve">বর্তমান SA ২৩৮ একটি identifiable public record, যাহার entry আইনগত presumption বহন করে। পক্ষান্তরে ১৯৬৯ সালের correction একটি historical event—যাহার existence, contents এবং legal effect আজ আদালতের সামনে প্রমাণ করিতে হইবে।</w:t>
      </w:r>
    </w:p>
    <w:p>
      <w:r>
        <w:rPr>
          <w:rFonts w:ascii="Kalpurush" w:cs="Kalpurush" w:eastAsia="Kalpurush" w:hAnsi="Kalpurush"/>
        </w:rPr>
        <w:t xml:space="preserve"/>
      </w:r>
    </w:p>
    <w:p>
      <w:r>
        <w:rPr>
          <w:rFonts w:ascii="Kalpurush" w:cs="Kalpurush" w:eastAsia="Kalpurush" w:hAnsi="Kalpurush"/>
          <w:sz w:val="20"/>
          <w:szCs w:val="20"/>
        </w:rPr>
        <w:t xml:space="preserve">সুতরাং Court-এর কাছে প্রশ্নটি হওয়া উচিত নয়—“কোন গল্পটি বেশি বিশ্বাসযোগ্য?”</w:t>
      </w:r>
    </w:p>
    <w:p>
      <w:r>
        <w:rPr>
          <w:rFonts w:ascii="Kalpurush" w:cs="Kalpurush" w:eastAsia="Kalpurush" w:hAnsi="Kalpurush"/>
          <w:sz w:val="20"/>
          <w:szCs w:val="20"/>
        </w:rPr>
        <w:t xml:space="preserve">বরং প্রশ্ন হওয়া উচিত: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“কোন পক্ষ কোন material fact কোন documentary evidence দ্বারা প্রতিষ্ঠা করেছে?”</w:t>
      </w:r>
    </w:p>
    <w:p>
      <w:r>
        <w:rPr>
          <w:rFonts w:ascii="Kalpurush" w:cs="Kalpurush" w:eastAsia="Kalpurush" w:hAnsi="Kalpurush"/>
        </w:rPr>
        <w:t xml:space="preserve"/>
      </w:r>
    </w:p>
    <w:p>
      <w:r>
        <w:rPr>
          <w:rFonts w:ascii="Kalpurush" w:cs="Kalpurush" w:eastAsia="Kalpurush" w:hAnsi="Kalpurush"/>
          <w:sz w:val="20"/>
          <w:szCs w:val="20"/>
        </w:rPr>
        <w:t xml:space="preserve">এই test প্রয়োগ করিলে:</w:t>
      </w:r>
    </w:p>
    <w:p>
      <w:r>
        <w:rPr>
          <w:rFonts w:ascii="Kalpurush" w:cs="Kalpurush" w:eastAsia="Kalpurush" w:hAnsi="Kalpurush"/>
        </w:rPr>
        <w:t xml:space="preserve"/>
      </w:r>
    </w:p>
    <w:p>
      <w:r>
        <w:rPr>
          <w:rFonts w:ascii="Kalpurush" w:cs="Kalpurush" w:eastAsia="Kalpurush" w:hAnsi="Kalpurush"/>
          <w:b/>
          <w:bCs/>
          <w:sz w:val="20"/>
          <w:szCs w:val="20"/>
        </w:rPr>
        <w:t xml:space="preserve">SA 238 → produced.</w:t>
      </w:r>
    </w:p>
    <w:p>
      <w:r>
        <w:rPr>
          <w:rFonts w:ascii="Kalpurush" w:cs="Kalpurush" w:eastAsia="Kalpurush" w:hAnsi="Kalpurush"/>
          <w:b/>
          <w:bCs/>
          <w:sz w:val="20"/>
          <w:szCs w:val="20"/>
        </w:rPr>
        <w:t xml:space="preserve">Final publication → established.</w:t>
      </w:r>
    </w:p>
    <w:p>
      <w:r>
        <w:rPr>
          <w:rFonts w:ascii="Kalpurush" w:cs="Kalpurush" w:eastAsia="Kalpurush" w:hAnsi="Kalpurush"/>
          <w:b/>
          <w:bCs/>
          <w:sz w:val="20"/>
          <w:szCs w:val="20"/>
        </w:rPr>
        <w:t xml:space="preserve">Current District Record Room position → established.</w:t>
      </w:r>
    </w:p>
    <w:p>
      <w:r>
        <w:rPr>
          <w:rFonts w:ascii="Kalpurush" w:cs="Kalpurush" w:eastAsia="Kalpurush" w:hAnsi="Kalpurush"/>
          <w:b/>
          <w:bCs/>
          <w:sz w:val="20"/>
          <w:szCs w:val="20"/>
        </w:rPr>
        <w:t xml:space="preserve">1957 registered deed → produced.</w:t>
      </w:r>
    </w:p>
    <w:p>
      <w:r>
        <w:rPr>
          <w:rFonts w:ascii="Kalpurush" w:cs="Kalpurush" w:eastAsia="Kalpurush" w:hAnsi="Kalpurush"/>
        </w:rPr>
        <w:t xml:space="preserve"/>
      </w:r>
    </w:p>
    <w:p>
      <w:r>
        <w:rPr>
          <w:rFonts w:ascii="Kalpurush" w:cs="Kalpurush" w:eastAsia="Kalpurush" w:hAnsi="Kalpurush"/>
          <w:sz w:val="20"/>
          <w:szCs w:val="20"/>
        </w:rPr>
        <w:t xml:space="preserve">পক্ষান্তরে:</w:t>
      </w:r>
    </w:p>
    <w:p>
      <w:r>
        <w:rPr>
          <w:rFonts w:ascii="Kalpurush" w:cs="Kalpurush" w:eastAsia="Kalpurush" w:hAnsi="Kalpurush"/>
        </w:rPr>
        <w:t xml:space="preserve"/>
      </w:r>
    </w:p>
    <w:p>
      <w:r>
        <w:rPr>
          <w:rFonts w:ascii="Kalpurush" w:cs="Kalpurush" w:eastAsia="Kalpurush" w:hAnsi="Kalpurush"/>
          <w:b/>
          <w:bCs/>
          <w:sz w:val="20"/>
          <w:szCs w:val="20"/>
        </w:rPr>
        <w:t xml:space="preserve">1934 root tenancy → primary foundation not established.</w:t>
      </w:r>
    </w:p>
    <w:p>
      <w:r>
        <w:rPr>
          <w:rFonts w:ascii="Kalpurush" w:cs="Kalpurush" w:eastAsia="Kalpurush" w:hAnsi="Kalpurush"/>
          <w:b/>
          <w:bCs/>
          <w:sz w:val="20"/>
          <w:szCs w:val="20"/>
        </w:rPr>
        <w:t xml:space="preserve">1969 correction → parent order not established.</w:t>
      </w:r>
    </w:p>
    <w:p>
      <w:r>
        <w:rPr>
          <w:rFonts w:ascii="Kalpurush" w:cs="Kalpurush" w:eastAsia="Kalpurush" w:hAnsi="Kalpurush"/>
          <w:b/>
          <w:bCs/>
          <w:sz w:val="20"/>
          <w:szCs w:val="20"/>
        </w:rPr>
        <w:t xml:space="preserve">Corrected SA position → authoritative documentary manifestation not established.</w:t>
      </w:r>
    </w:p>
    <w:p>
      <w:r>
        <w:rPr>
          <w:rFonts w:ascii="Kalpurush" w:cs="Kalpurush" w:eastAsia="Kalpurush" w:hAnsi="Kalpurush"/>
          <w:b/>
          <w:bCs/>
          <w:sz w:val="20"/>
          <w:szCs w:val="20"/>
        </w:rPr>
        <w:t xml:space="preserve">One-dag theory → contradicted by 1975 registered deed.</w:t>
      </w:r>
    </w:p>
    <w:p>
      <w:r>
        <w:rPr>
          <w:rFonts w:ascii="Kalpurush" w:cs="Kalpurush" w:eastAsia="Kalpurush" w:hAnsi="Kalpurush"/>
        </w:rPr>
        <w:t xml:space="preserve"/>
      </w:r>
    </w:p>
    <w:p>
      <w:r>
        <w:rPr>
          <w:rFonts w:ascii="Kalpurush" w:cs="Kalpurush" w:eastAsia="Kalpurush" w:hAnsi="Kalpurush"/>
          <w:sz w:val="20"/>
          <w:szCs w:val="20"/>
        </w:rPr>
        <w:t xml:space="preserve">অতএব evidentiary balance নয়, </w:t>
      </w:r>
      <w:r>
        <w:rPr>
          <w:rFonts w:ascii="Kalpurush" w:cs="Kalpurush" w:eastAsia="Kalpurush" w:hAnsi="Kalpurush"/>
          <w:b/>
          <w:bCs/>
          <w:sz w:val="20"/>
          <w:szCs w:val="20"/>
        </w:rPr>
        <w:t xml:space="preserve">evidentiary proof</w:t>
      </w:r>
      <w:r>
        <w:rPr>
          <w:rFonts w:ascii="Kalpurush" w:cs="Kalpurush" w:eastAsia="Kalpurush" w:hAnsi="Kalpurush"/>
          <w:sz w:val="20"/>
          <w:szCs w:val="20"/>
        </w:rPr>
        <w:t xml:space="preserve">-এর প্রশ্নেই বিবাদীপক্ষের case দুর্বল হয়ে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IV. CS ২ নং খতিয়ান ও কথিত ১৯৩৪ সালের পত্তন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CS ২ নং খতিয়ানে নালিশী জমি নবাব এস্টেটের খাস সম্পত্তি হিসাবে প্রতিফলিত; কোনো ব্যক্তিগত রায়তের নাম তথায় নাই।</w:t>
      </w:r>
    </w:p>
    <w:p>
      <w:r>
        <w:rPr>
          <w:rFonts w:ascii="Kalpurush" w:cs="Kalpurush" w:eastAsia="Kalpurush" w:hAnsi="Kalpurush"/>
        </w:rPr>
        <w:t xml:space="preserve"/>
      </w:r>
    </w:p>
    <w:p>
      <w:r>
        <w:rPr>
          <w:rFonts w:ascii="Kalpurush" w:cs="Kalpurush" w:eastAsia="Kalpurush" w:hAnsi="Kalpurush"/>
          <w:sz w:val="20"/>
          <w:szCs w:val="20"/>
        </w:rPr>
        <w:t xml:space="preserve">আমরা এমন absolute proposition করিতেছি না যে, "CS-এ নাম না থাকিলে ১৯৩৪ সালে tenancy সৃষ্টি হইতেই পারে না।" </w:t>
      </w:r>
    </w:p>
    <w:p>
      <w:r>
        <w:rPr>
          <w:rFonts w:ascii="Kalpurush" w:cs="Kalpurush" w:eastAsia="Kalpurush" w:hAnsi="Kalpurush"/>
        </w:rPr>
        <w:t xml:space="preserve"/>
      </w:r>
    </w:p>
    <w:p>
      <w:r>
        <w:rPr>
          <w:rFonts w:ascii="Kalpurush" w:cs="Kalpurush" w:eastAsia="Kalpurush" w:hAnsi="Kalpurush"/>
          <w:sz w:val="20"/>
          <w:szCs w:val="20"/>
        </w:rPr>
        <w:t xml:space="preserve">আমাদের সুনির্দিষ্ট আইনি বক্তব্য হইল:</w:t>
      </w:r>
    </w:p>
    <w:p>
      <w:pPr>
        <w:ind w:left="720"/>
      </w:pPr>
      <w:r>
        <w:rPr>
          <w:rFonts w:ascii="Kalpurush" w:cs="Kalpurush" w:eastAsia="Kalpurush" w:hAnsi="Kalpurush"/>
          <w:b/>
          <w:bCs/>
          <w:i/>
          <w:iCs/>
          <w:sz w:val="20"/>
          <w:szCs w:val="20"/>
        </w:rPr>
        <w:t xml:space="preserve">যেহেতু CS রেকর্ডে কোনো ব্যক্তিগত রায়ত নাই, সেহেতু বিবাদীপক্ষ যখন দাবি করে যে ১৯৩৪ সালে আব্দুল করিম একটি স্বতন্ত্র ও উত্তরাধিকারযোগ্য tenancy interest অর্জন করিয়াছিলেন, তখন সেই পরিবর্তনের documentary foundation প্রমাণ করা বিবাদীপক্ষের একটি material duty।</w:t>
      </w:r>
    </w:p>
    <w:p>
      <w:r>
        <w:rPr>
          <w:rFonts w:ascii="Kalpurush" w:cs="Kalpurush" w:eastAsia="Kalpurush" w:hAnsi="Kalpurush"/>
        </w:rPr>
        <w:t xml:space="preserve"/>
      </w:r>
    </w:p>
    <w:p>
      <w:r>
        <w:rPr>
          <w:rFonts w:ascii="Kalpurush" w:cs="Kalpurush" w:eastAsia="Kalpurush" w:hAnsi="Kalpurush"/>
          <w:sz w:val="20"/>
          <w:szCs w:val="20"/>
        </w:rPr>
        <w:t xml:space="preserve">primary evidence দ্বারা এই পত্তনের ভিত্তি প্রতিষ্ঠিত না হওয়া পর্যন্ত, শুধুমাত্র একটি গল্পের উপর ভর করিয়া final SA record-কে displace করা আইনত অসম্ভব।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 সম্ভাব্য বিচারিক জিজ্ঞাসা: "আপনাদের পত্তন কোথায়?"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যদি প্রশ্ন করেন যে আপীল্যান্টদের title-এর উৎস কী, আমাদের বিনীত উত্তর হইবে: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আমাদের বর্তমান দাবি আব্দুল করিমের alleged pattan হইতে উদ্ভূত নহে। আমাদের evidentiary starting point হইল State Acquisition-এর পর রাষ্ট্রের প্রস্তুতকৃত চূড়ান্ত Record-of-Rights (SA 238), যেখানে আব্দুল আলীকে ১৬ আনা রায়ত হিসাবে স্বীকৃতি দেওয়া হইয়াছে। আমরা কোনো missing historical settlement দিয়া SA record তৈরি করিতে বলিতেছি না; বরং বিবাদীপক্ষই সেই final State Record-কে ভুল বলিতেছে। অতএব, তাহাদের competing title theory এবং SA entry displaced হওয়ার legal event—উভয়টিই নির্ভরযোগ্য প্রমাণ দ্বারা প্রতিষ্ঠিত হওয়া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 ১৯৫৭ সালের দলিল নং ২৩৯৮ — Corroborative Circumstance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২৩৯৮/১৯৫৭ নং registered deed-টি সংশ্লিষ্ট ৩ নং দাগের নির্দিষ্ট ভূমির সঙ্গে আব্দুল আলীর একটি contemporaneous registered documentary relationship দেখায়। যেহেতু উক্ত ৩ নং দাগের জমি SA ২৩৮-এর অন্তর্ভুক্ত জমিরই অংশ এবং উক্ত জমির জন্য পৃথক SA parcha প্রদর্শিত হয় নাই, দলিলটি পরবর্তী SA record-এর সঙ্গে একটি গুরুত্বপূর্ণ documentary correlation সৃষ্টি করে। </w:t>
      </w:r>
    </w:p>
    <w:p>
      <w:r>
        <w:rPr>
          <w:rFonts w:ascii="Kalpurush" w:cs="Kalpurush" w:eastAsia="Kalpurush" w:hAnsi="Kalpurush"/>
        </w:rPr>
        <w:t xml:space="preserve"/>
      </w:r>
    </w:p>
    <w:p>
      <w:r>
        <w:rPr>
          <w:rFonts w:ascii="Kalpurush" w:cs="Kalpurush" w:eastAsia="Kalpurush" w:hAnsi="Kalpurush"/>
          <w:sz w:val="20"/>
          <w:szCs w:val="20"/>
        </w:rPr>
        <w:t xml:space="preserve">এই দলিলটি SA ২৩৮-এর আইনি উৎস নহে, কিন্তু এটি একই জমির সহিত আব্দুল আলীর registered relationship প্রমাণ করে, যাহা পরবর্তী final SA record-এর সহিত সামঞ্জস্যপূর্ণ।</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VII. ১৯৬৯ সালের Misc Case 1181 — মূল আক্রমণের কেন্দ্র</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 অনুযায়ী, </w:t>
      </w:r>
      <w:r>
        <w:rPr>
          <w:rFonts w:ascii="Kalpurush" w:cs="Kalpurush" w:eastAsia="Kalpurush" w:hAnsi="Kalpurush"/>
          <w:b/>
          <w:bCs/>
          <w:sz w:val="20"/>
          <w:szCs w:val="20"/>
        </w:rPr>
        <w:t xml:space="preserve">Misc Case No. 1181/1969</w:t>
      </w:r>
      <w:r>
        <w:rPr>
          <w:rFonts w:ascii="Kalpurush" w:cs="Kalpurush" w:eastAsia="Kalpurush" w:hAnsi="Kalpurush"/>
          <w:sz w:val="20"/>
          <w:szCs w:val="20"/>
        </w:rPr>
        <w:t xml:space="preserve"> হইল সেই legal event, যাহার মাধ্যমে SA ২৩৮-এর অবস্থান পরিবর্তিত হইয়া সোনাভানুর interest সৃষ্টি হইয়াছে।</w:t>
      </w:r>
    </w:p>
    <w:p>
      <w:r>
        <w:rPr>
          <w:rFonts w:ascii="Kalpurush" w:cs="Kalpurush" w:eastAsia="Kalpurush" w:hAnsi="Kalpurush"/>
        </w:rPr>
        <w:t xml:space="preserve"/>
      </w:r>
    </w:p>
    <w:p>
      <w:r>
        <w:rPr>
          <w:rFonts w:ascii="Kalpurush" w:cs="Kalpurush" w:eastAsia="Kalpurush" w:hAnsi="Kalpurush"/>
          <w:sz w:val="20"/>
          <w:szCs w:val="20"/>
        </w:rPr>
        <w:t xml:space="preserve">একটি alleged corrective event-কে আইনি স্বীকৃতি দেওয়ার পূর্বে নিম্নোক্ত বিষয়গুলি প্রমাণ হওয়া অপরিহার্য: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উক্ত proceeding-এর authoritative record কোথায়?</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যে order-এর উপর বিবাদীপক্ষ নির্ভর করিতেছে, তাহার exact terms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উক্ত forum-এর substantive issue নির্ধারণের jurisdiction ছিল কি না?</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Parties and Notice:</w:t>
      </w:r>
      <w:r>
        <w:rPr>
          <w:rFonts w:ascii="Kalpurush" w:cs="Kalpurush" w:eastAsia="Kalpurush" w:hAnsi="Kalpurush"/>
          <w:sz w:val="20"/>
          <w:szCs w:val="20"/>
        </w:rPr>
        <w:t xml:space="preserve"> Recorded interest-holder আব্দুল আলী কি পক্ষভুক্ত বা notified ছিলেন?</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Legal Effect:</w:t>
      </w:r>
      <w:r>
        <w:rPr>
          <w:rFonts w:ascii="Kalpurush" w:cs="Kalpurush" w:eastAsia="Kalpurush" w:hAnsi="Kalpurush"/>
          <w:sz w:val="20"/>
          <w:szCs w:val="20"/>
        </w:rPr>
        <w:t xml:space="preserve"> Order-টি title পরিবর্তনের legal effect সৃষ্টি করিতে সক্ষম ছিল কি না?</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Order-টি কীভাবে revenue system-এ কার্যকর হইল?</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Corresponding Record:</w:t>
      </w:r>
      <w:r>
        <w:rPr>
          <w:rFonts w:ascii="Kalpurush" w:cs="Kalpurush" w:eastAsia="Kalpurush" w:hAnsi="Kalpurush"/>
          <w:sz w:val="20"/>
          <w:szCs w:val="20"/>
        </w:rPr>
        <w:t xml:space="preserve"> সংশোধনের authoritative documentary manifestation কোথায়?</w:t>
      </w:r>
    </w:p>
    <w:p>
      <w:r>
        <w:rPr>
          <w:rFonts w:ascii="Kalpurush" w:cs="Kalpurush" w:eastAsia="Kalpurush" w:hAnsi="Kalpurush"/>
        </w:rPr>
        <w:t xml:space="preserve"/>
      </w:r>
    </w:p>
    <w:p>
      <w:r>
        <w:rPr>
          <w:rFonts w:ascii="Kalpurush" w:cs="Kalpurush" w:eastAsia="Kalpurush" w:hAnsi="Kalpurush"/>
          <w:sz w:val="20"/>
          <w:szCs w:val="20"/>
        </w:rPr>
        <w:t xml:space="preserve">এই মৌলিক প্রশ্নগুলির উত্তর ব্যতিরেকে, কেবলমাত্র একটি volume note-এর অস্তিত্ব দ্বারা substantive displacement প্রতিষ্ঠা করা আইন ও প্রমাণের দৃষ্টিতে সম্পূর্ণ ভিত্তিহীন।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VIII. Parent Order অনুপস্থিত — Consequential Entry-এর আইনি সীমা</w:t>
      </w:r>
    </w:p>
    <w:p>
      <w:r>
        <w:rPr>
          <w:rFonts w:ascii="Kalpurush" w:cs="Kalpurush" w:eastAsia="Kalpurush" w:hAnsi="Kalpurush"/>
        </w:rPr>
        <w:t xml:space="preserve"/>
      </w:r>
    </w:p>
    <w:p>
      <w:r>
        <w:rPr>
          <w:rFonts w:ascii="Kalpurush" w:cs="Kalpurush" w:eastAsia="Kalpurush" w:hAnsi="Kalpurush"/>
          <w:sz w:val="20"/>
          <w:szCs w:val="20"/>
        </w:rPr>
        <w:t xml:space="preserve">আমাদের অবস্থান অত্যন্ত পরিমিত:</w:t>
      </w:r>
    </w:p>
    <w:p>
      <w:pPr>
        <w:ind w:left="720"/>
      </w:pPr>
      <w:r>
        <w:rPr>
          <w:rFonts w:ascii="Kalpurush" w:cs="Kalpurush" w:eastAsia="Kalpurush" w:hAnsi="Kalpurush"/>
          <w:b/>
          <w:bCs/>
          <w:i/>
          <w:iCs/>
          <w:sz w:val="20"/>
          <w:szCs w:val="20"/>
        </w:rPr>
        <w:t xml:space="preserve">"আমরা আদালতকে বলিতেছি না যে AC Land volume entry মিথ্যা। আমরা বলিতেছি, উক্ত entry যে আইনি প্রক্রিয়ার (legal event) ফল বলিয়া দাবি করা হইতেছে, সেই আইনি প্রক্রিয়াটি স্বয়ং প্রমাণিত নহে।"</w:t>
      </w:r>
    </w:p>
    <w:p>
      <w:r>
        <w:rPr>
          <w:rFonts w:ascii="Kalpurush" w:cs="Kalpurush" w:eastAsia="Kalpurush" w:hAnsi="Kalpurush"/>
        </w:rPr>
        <w:t xml:space="preserve"/>
      </w:r>
    </w:p>
    <w:p>
      <w:r>
        <w:rPr>
          <w:rFonts w:ascii="Kalpurush" w:cs="Kalpurush" w:eastAsia="Kalpurush" w:hAnsi="Kalpurush"/>
          <w:sz w:val="20"/>
          <w:szCs w:val="20"/>
        </w:rPr>
        <w:t xml:space="preserve">একটি administrative entry-এর evidentiary value তাহার legal source-এর উপর নির্ভর করে। যদি parent order-ই আদালতে উপস্থাপিত না হয়, তবে consequential entry হইতে parent order-এর substantive effect অনুমান করা সম্পূর্ণ অনিরাপদ এবং বেআইনি।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IX. District Settlement Record Room-এ সংশোধনের প্রতিফলন না থাকা</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সালের alleged correction সত্যিই এমন একটি substantive change সৃষ্টি করিয়া থাকে, যার উপর বর্তমান defendants’ title claim নির্ভরশীল, তবে সেই corrective event-এর authoritative documentary manifestation—parent order, certified proceeding, corrected record, বা সংশ্লিষ্ট official implementation record—এর অন্তত একটি নির্ভরযোগ্যভাবে উপস্থাপিত হওয়া প্রত্যাশিত ছিল। </w:t>
      </w:r>
    </w:p>
    <w:p>
      <w:r>
        <w:rPr>
          <w:rFonts w:ascii="Kalpurush" w:cs="Kalpurush" w:eastAsia="Kalpurush" w:hAnsi="Kalpurush"/>
        </w:rPr>
        <w:t xml:space="preserve"/>
      </w:r>
    </w:p>
    <w:p>
      <w:r>
        <w:rPr>
          <w:rFonts w:ascii="Kalpurush" w:cs="Kalpurush" w:eastAsia="Kalpurush" w:hAnsi="Kalpurush"/>
          <w:sz w:val="20"/>
          <w:szCs w:val="20"/>
        </w:rPr>
        <w:t xml:space="preserve">বিশেষত যখন বর্তমান District Settlement Record Room-এর SA ২৩৮ এখনো আব্দুল আলীর একক নাম বহন করিতেছে। এই documentary gap-এর গুরুত্ব সমগ্র evidence-এর সঙ্গে মিলিয়া মূল্যায়ন করিবার বিষয়।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 AC Land Volume — নির্দিষ্ট exercise-এর প্রমাণ দাবি</w:t>
      </w:r>
    </w:p>
    <w:p>
      <w:r>
        <w:rPr>
          <w:rFonts w:ascii="Kalpurush" w:cs="Kalpurush" w:eastAsia="Kalpurush" w:hAnsi="Kalpurush"/>
        </w:rPr>
        <w:t xml:space="preserve"/>
      </w:r>
    </w:p>
    <w:p>
      <w:r>
        <w:rPr>
          <w:rFonts w:ascii="Kalpurush" w:cs="Kalpurush" w:eastAsia="Kalpurush" w:hAnsi="Kalpurush"/>
          <w:sz w:val="20"/>
          <w:szCs w:val="20"/>
        </w:rPr>
        <w:t xml:space="preserve">আদালতের সম্মুখে প্রশ্ন হইল: এই নির্দিষ্ট entry কোন proceeding-এর, কোন authority-এর, কোন factual basis-এর, এবং কোন notice/order-এর ফল? </w:t>
      </w:r>
      <w:r>
        <w:rPr>
          <w:rFonts w:ascii="Kalpurush" w:cs="Kalpurush" w:eastAsia="Kalpurush" w:hAnsi="Kalpurush"/>
          <w:b/>
          <w:bCs/>
          <w:sz w:val="20"/>
          <w:szCs w:val="20"/>
        </w:rPr>
        <w:t xml:space="preserve">এই particular exercise-এর proof কোথায়?</w:t>
      </w:r>
      <w:r>
        <w:rPr>
          <w:rFonts w:ascii="Kalpurush" w:cs="Kalpurush" w:eastAsia="Kalpurush" w:hAnsi="Kalpurush"/>
          <w:sz w:val="20"/>
          <w:szCs w:val="20"/>
        </w:rPr>
        <w:t xml:space="preserve"> এই প্রমাণ ব্যতীত, কোনো সাধারণ statutory ক্ষমতাকে ১৯৬৯ সালের নির্দিষ্ট substantive correction-এর প্রমাণ হিসাবে গণ্য করা যায়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 DW-4-এর সাক্ষ্য — Provenance প্রমাণে ব্যর্থতা</w:t>
      </w:r>
    </w:p>
    <w:p>
      <w:r>
        <w:rPr>
          <w:rFonts w:ascii="Kalpurush" w:cs="Kalpurush" w:eastAsia="Kalpurush" w:hAnsi="Kalpurush"/>
        </w:rPr>
        <w:t xml:space="preserve"/>
      </w:r>
    </w:p>
    <w:p>
      <w:r>
        <w:rPr>
          <w:rFonts w:ascii="Kalpurush" w:cs="Kalpurush" w:eastAsia="Kalpurush" w:hAnsi="Kalpurush"/>
          <w:sz w:val="20"/>
          <w:szCs w:val="20"/>
        </w:rPr>
        <w:t xml:space="preserve">বিবাদীদের তলবকৃত সাক্ষী DW-4 (মোঃ আজম খান)-এর জবানবন্দি অনুযায়ী:</w:t>
      </w:r>
    </w:p>
    <w:p>
      <w:pPr>
        <w:ind w:left="720"/>
      </w:pPr>
      <w:r>
        <w:rPr>
          <w:rFonts w:ascii="Kalpurush" w:cs="Kalpurush" w:eastAsia="Kalpurush" w:hAnsi="Kalpurush"/>
          <w:i/>
          <w:iCs/>
          <w:sz w:val="20"/>
          <w:szCs w:val="20"/>
        </w:rPr>
        <w:t xml:space="preserve">"ভলিউমে মন্তব্য কলামে মিসকেস নাম্বার কত লিখা তা বুঝা যায় না।"</w:t>
      </w:r>
    </w:p>
    <w:p>
      <w:pPr>
        <w:ind w:left="720"/>
      </w:pPr>
      <w:r>
        <w:rPr>
          <w:rFonts w:ascii="Kalpurush" w:cs="Kalpurush" w:eastAsia="Kalpurush" w:hAnsi="Kalpurush"/>
          <w:i/>
          <w:iCs/>
          <w:sz w:val="20"/>
          <w:szCs w:val="20"/>
        </w:rPr>
        <w:t xml:space="preserve">"কে বা কত তারিখ তা লিখা হয়েছে বলতে পারব না।"</w:t>
      </w:r>
    </w:p>
    <w:p>
      <w:pPr>
        <w:ind w:left="720"/>
      </w:pPr>
      <w:r>
        <w:rPr>
          <w:rFonts w:ascii="Kalpurush" w:cs="Kalpurush" w:eastAsia="Kalpurush" w:hAnsi="Kalpurush"/>
          <w:i/>
          <w:iCs/>
          <w:sz w:val="20"/>
          <w:szCs w:val="20"/>
        </w:rPr>
        <w:t xml:space="preserve">"সোনা ভানুর নাম ভিন্ন কালিতে কেন লিখা বলতে পারব না।"</w:t>
      </w:r>
    </w:p>
    <w:p>
      <w:r>
        <w:rPr>
          <w:rFonts w:ascii="Kalpurush" w:cs="Kalpurush" w:eastAsia="Kalpurush" w:hAnsi="Kalpurush"/>
        </w:rPr>
        <w:t xml:space="preserve"/>
      </w:r>
    </w:p>
    <w:p>
      <w:r>
        <w:rPr>
          <w:rFonts w:ascii="Kalpurush" w:cs="Kalpurush" w:eastAsia="Kalpurush" w:hAnsi="Kalpurush"/>
          <w:sz w:val="20"/>
          <w:szCs w:val="20"/>
        </w:rPr>
        <w:t xml:space="preserve">অর্থাৎ, </w:t>
      </w:r>
      <w:r>
        <w:rPr>
          <w:rFonts w:ascii="Kalpurush" w:cs="Kalpurush" w:eastAsia="Kalpurush" w:hAnsi="Kalpurush"/>
          <w:b/>
          <w:bCs/>
          <w:sz w:val="20"/>
          <w:szCs w:val="20"/>
        </w:rPr>
        <w:t xml:space="preserve">DW-4 could not satisfactorily establish the provenance, authorship, or legal source of the entry.</w:t>
      </w:r>
      <w:r>
        <w:rPr>
          <w:rFonts w:ascii="Kalpurush" w:cs="Kalpurush" w:eastAsia="Kalpurush" w:hAnsi="Kalpurush"/>
          <w:sz w:val="20"/>
          <w:szCs w:val="20"/>
        </w:rPr>
        <w:t xml:space="preserve">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XII. "ভিন্ন কালিতে লেখা" — Circumstantial Evidence</w:t>
      </w:r>
    </w:p>
    <w:p>
      <w:r>
        <w:rPr>
          <w:rFonts w:ascii="Kalpurush" w:cs="Kalpurush" w:eastAsia="Kalpurush" w:hAnsi="Kalpurush"/>
        </w:rPr>
        <w:t xml:space="preserve"/>
      </w:r>
    </w:p>
    <w:p>
      <w:r>
        <w:rPr>
          <w:rFonts w:ascii="Kalpurush" w:cs="Kalpurush" w:eastAsia="Kalpurush" w:hAnsi="Kalpurush"/>
          <w:sz w:val="20"/>
          <w:szCs w:val="20"/>
        </w:rPr>
        <w:t xml:space="preserve">ভিন্ন কালি বা হাতের লেখা নিজেই জালিয়াতির (fraud) অকাট্য প্রমাণ নহে। আমাদের appellate argument হইল:</w:t>
      </w:r>
    </w:p>
    <w:p>
      <w:pPr>
        <w:ind w:left="720"/>
      </w:pPr>
      <w:r>
        <w:rPr>
          <w:rFonts w:ascii="Kalpurush" w:cs="Kalpurush" w:eastAsia="Kalpurush" w:hAnsi="Kalpurush"/>
          <w:b/>
          <w:bCs/>
          <w:i/>
          <w:iCs/>
          <w:sz w:val="20"/>
          <w:szCs w:val="20"/>
        </w:rPr>
        <w:t xml:space="preserve">"The different ink is not relied upon as conclusive proof of fraud. It is relied upon only as a circumstance reinforcing the need for the respondents to establish the entry’s provenance, authorship, and legal source."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XIII. ১৯৭৫ সালের দলিল নং ৩৫৯৬ — সর্বোত্তম Factual Contradiction</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 অনুযায়ী, ১৯৬৯ সালের correction-এর ফলে SA ২৩৮ একটি দাগে (১২৫৯) সীমাবদ্ধ হইয়া যায়। </w:t>
      </w:r>
    </w:p>
    <w:p>
      <w:r>
        <w:rPr>
          <w:rFonts w:ascii="Kalpurush" w:cs="Kalpurush" w:eastAsia="Kalpurush" w:hAnsi="Kalpurush"/>
          <w:sz w:val="20"/>
          <w:szCs w:val="20"/>
        </w:rPr>
        <w:t xml:space="preserve">অথচ, তাহাদের নিজেদের সম্পাদিত ১৯৭৫ সালের registered deed (Exhibit Kha-2)-এ SA ২৩৮-এর অধীনে </w:t>
      </w:r>
      <w:r>
        <w:rPr>
          <w:rFonts w:ascii="Kalpurush" w:cs="Kalpurush" w:eastAsia="Kalpurush" w:hAnsi="Kalpurush"/>
          <w:b/>
          <w:bCs/>
          <w:sz w:val="20"/>
          <w:szCs w:val="20"/>
        </w:rPr>
        <w:t xml:space="preserve">ছয়টি দাগের (১২৫৯, ৭৫, ৩, ৫৪, ১২৫২ এবং ১২২০)</w:t>
      </w:r>
      <w:r>
        <w:rPr>
          <w:rFonts w:ascii="Kalpurush" w:cs="Kalpurush" w:eastAsia="Kalpurush" w:hAnsi="Kalpurush"/>
          <w:sz w:val="20"/>
          <w:szCs w:val="20"/>
        </w:rPr>
        <w:t xml:space="preserve"> বিবরণ রহিয়াছে।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"If the alleged 1969 correction had reduced SA 238 to one dag, why does the respondents’ own registered deed of 1975 describe six dags under the same khatian?"</w:t>
      </w:r>
    </w:p>
    <w:p>
      <w:r>
        <w:rPr>
          <w:rFonts w:ascii="Kalpurush" w:cs="Kalpurush" w:eastAsia="Kalpurush" w:hAnsi="Kalpurush"/>
        </w:rPr>
        <w:t xml:space="preserve"/>
      </w:r>
    </w:p>
    <w:p>
      <w:r>
        <w:rPr>
          <w:rFonts w:ascii="Kalpurush" w:cs="Kalpurush" w:eastAsia="Kalpurush" w:hAnsi="Kalpurush"/>
          <w:sz w:val="20"/>
          <w:szCs w:val="20"/>
        </w:rPr>
        <w:t xml:space="preserve">এই material contradiction এক-দাগের alleged correction theory-এর সঙ্গে সরাসরি অসামঞ্জস্য সৃষ্টি করে এবং satisfactory explanation ব্যতিরেকে এই theory-কে final SA record-এর বিরুদ্ধে নির্ভরযোগ্য rebuttal হিসেবে গ্রহণ করা কঠিন করে তোলে।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XIV. Secondary Contradictions: পরিচয়গত ও দলিলের অসঙ্গতি</w:t>
      </w:r>
    </w:p>
    <w:p>
      <w:r>
        <w:rPr>
          <w:rFonts w:ascii="Kalpurush" w:cs="Kalpurush" w:eastAsia="Kalpurush" w:hAnsi="Kalpurush"/>
        </w:rPr>
        <w:t xml:space="preserve"/>
      </w:r>
    </w:p>
    <w:p>
      <w:r>
        <w:rPr>
          <w:rFonts w:ascii="Kalpurush" w:cs="Kalpurush" w:eastAsia="Kalpurush" w:hAnsi="Kalpurush"/>
          <w:b/>
          <w:bCs/>
          <w:sz w:val="20"/>
          <w:szCs w:val="20"/>
        </w:rPr>
        <w:t xml:space="preserve">প্রাথমিক Contradiction:</w:t>
      </w:r>
      <w:r>
        <w:rPr>
          <w:rFonts w:ascii="Kalpurush" w:cs="Kalpurush" w:eastAsia="Kalpurush" w:hAnsi="Kalpurush"/>
          <w:sz w:val="20"/>
          <w:szCs w:val="20"/>
        </w:rPr>
        <w:t xml:space="preserve"> 6 dags বনাম 1 dag (১৯৭৫ সালের দলিল)।</w:t>
      </w:r>
    </w:p>
    <w:p>
      <w:r>
        <w:rPr>
          <w:rFonts w:ascii="Kalpurush" w:cs="Kalpurush" w:eastAsia="Kalpurush" w:hAnsi="Kalpurush"/>
        </w:rPr>
        <w:t xml:space="preserve"/>
      </w:r>
    </w:p>
    <w:p>
      <w:r>
        <w:rPr>
          <w:rFonts w:ascii="Kalpurush" w:cs="Kalpurush" w:eastAsia="Kalpurush" w:hAnsi="Kalpurush"/>
          <w:b/>
          <w:bCs/>
          <w:sz w:val="20"/>
          <w:szCs w:val="20"/>
        </w:rPr>
        <w:t xml:space="preserve">Secondary Contradiction:</w:t>
      </w:r>
      <w:r>
        <w:rPr>
          <w:rFonts w:ascii="Kalpurush" w:cs="Kalpurush" w:eastAsia="Kalpurush" w:hAnsi="Kalpurush"/>
          <w:sz w:val="20"/>
          <w:szCs w:val="20"/>
        </w:rPr>
        <w:t xml:space="preserve"> ১৯৭৫ সালের দলিলে বেলুয়ার স্বামীর নাম (সোবান) এবং আরজিতে প্রদত্ত নামের (আব্দুল কদ্দুস) মধ্যে অসামঞ্জস্য রহিয়াছে। This identity discrepancy is relied upon only as a corroborative circumstance, not as a standalone title-displacing fact।</w:t>
      </w:r>
    </w:p>
    <w:p>
      <w:r>
        <w:rPr>
          <w:rFonts w:ascii="Kalpurush" w:cs="Kalpurush" w:eastAsia="Kalpurush" w:hAnsi="Kalpurush"/>
        </w:rPr>
        <w:t xml:space="preserve"/>
      </w:r>
    </w:p>
    <w:p>
      <w:r>
        <w:rPr>
          <w:rFonts w:ascii="Kalpurush" w:cs="Kalpurush" w:eastAsia="Kalpurush" w:hAnsi="Kalpurush"/>
          <w:b/>
          <w:bCs/>
          <w:sz w:val="20"/>
          <w:szCs w:val="20"/>
        </w:rPr>
        <w:t xml:space="preserve">SA ৯১ নং খতিয়ানের অসঙ্গতি:</w:t>
      </w:r>
      <w:r>
        <w:rPr>
          <w:rFonts w:ascii="Kalpurush" w:cs="Kalpurush" w:eastAsia="Kalpurush" w:hAnsi="Kalpurush"/>
          <w:sz w:val="20"/>
          <w:szCs w:val="20"/>
        </w:rPr>
        <w:t xml:space="preserve"> যদি certified record অনুযায়ী SA 91-এর কপিতে Plot 1252-এর entry পুনরাবৃত্ত হয় এবং দুইবার ভিন্ন area প্রদর্শিত হয়, তবে: The produced copy contains an internal inconsistency which materially affects its evidentiary weight and calls for strict scrutiny।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 Evidence Act Section 114(g) — Adverse Inference</w:t>
      </w:r>
    </w:p>
    <w:p>
      <w:r>
        <w:rPr>
          <w:rFonts w:ascii="Kalpurush" w:cs="Kalpurush" w:eastAsia="Kalpurush" w:hAnsi="Kalpurush"/>
        </w:rPr>
        <w:t xml:space="preserve"/>
      </w:r>
    </w:p>
    <w:p>
      <w:r>
        <w:rPr>
          <w:rFonts w:ascii="Kalpurush" w:cs="Kalpurush" w:eastAsia="Kalpurush" w:hAnsi="Kalpurush"/>
          <w:sz w:val="20"/>
          <w:szCs w:val="20"/>
        </w:rPr>
        <w:t xml:space="preserve">কথিত Misc Case-এর order বা certified record আদালতে উপস্থাপন না করার কারণে Evidence Act-এর Section 114(g) অনুযায়ী বিবাদীপক্ষের বিরুদ্ধে প্রতিকূল অনুমান গ্রহণ করা যাইতে পারে।</w:t>
      </w:r>
    </w:p>
    <w:p>
      <w:pPr>
        <w:ind w:left="720"/>
      </w:pPr>
      <w:r>
        <w:rPr>
          <w:rFonts w:ascii="Kalpurush" w:cs="Kalpurush" w:eastAsia="Kalpurush" w:hAnsi="Kalpurush"/>
          <w:b/>
          <w:bCs/>
          <w:i/>
          <w:iCs/>
          <w:sz w:val="20"/>
          <w:szCs w:val="20"/>
        </w:rPr>
        <w:t xml:space="preserve">"The absence of the best available documentary evidence may, depending upon the entire evidentiary context, support an adverse inference under section 114(g)."</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XVI. "বাদীর দুর্বলতা বিবাদীর স্বত্ব নহে"</w:t>
      </w:r>
    </w:p>
    <w:p>
      <w:r>
        <w:rPr>
          <w:rFonts w:ascii="Kalpurush" w:cs="Kalpurush" w:eastAsia="Kalpurush" w:hAnsi="Kalpurush"/>
        </w:rPr>
        <w:t xml:space="preserve"/>
      </w:r>
    </w:p>
    <w:p>
      <w:r>
        <w:rPr>
          <w:rFonts w:ascii="Kalpurush" w:cs="Kalpurush" w:eastAsia="Kalpurush" w:hAnsi="Kalpurush"/>
          <w:sz w:val="20"/>
          <w:szCs w:val="20"/>
        </w:rPr>
        <w:t xml:space="preserve">Title suit-এ বাদীকে তাহার নিজস্ব স্বত্ব প্রমাণ করিতে হয়, ইহা সত্য। কিন্তু:</w:t>
      </w:r>
    </w:p>
    <w:p>
      <w:pPr>
        <w:ind w:left="720"/>
      </w:pPr>
      <w:r>
        <w:rPr>
          <w:rFonts w:ascii="Kalpurush" w:cs="Kalpurush" w:eastAsia="Kalpurush" w:hAnsi="Kalpurush"/>
          <w:b/>
          <w:bCs/>
          <w:i/>
          <w:iCs/>
          <w:sz w:val="20"/>
          <w:szCs w:val="20"/>
        </w:rPr>
        <w:t xml:space="preserve">"Even where the plaintiff carries the ultimate burden, the court cannot treat an unproved affirmative defence as established merely because the plaintiff did not disprove every speculative component of that defence."</w:t>
      </w:r>
    </w:p>
    <w:p>
      <w:r>
        <w:rPr>
          <w:rFonts w:ascii="Kalpurush" w:cs="Kalpurush" w:eastAsia="Kalpurush" w:hAnsi="Kalpurush"/>
        </w:rPr>
        <w:t xml:space="preserve"/>
      </w:r>
    </w:p>
    <w:p>
      <w:r>
        <w:rPr>
          <w:rFonts w:ascii="Kalpurush" w:cs="Kalpurush" w:eastAsia="Kalpurush" w:hAnsi="Kalpurush"/>
          <w:sz w:val="20"/>
          <w:szCs w:val="20"/>
        </w:rPr>
        <w:t xml:space="preserve">বাদীর প্রমাণের অভাব স্বতঃস্ফূর্তভাবে বিবাদীর অপ্রমাণিত স্বত্বকে বৈধতা দিতে পারে না।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XVII. Hotchpot Analysis — গাণিতিক অসঙ্গতি</w:t>
      </w:r>
    </w:p>
    <w:p>
      <w:r>
        <w:rPr>
          <w:rFonts w:ascii="Kalpurush" w:cs="Kalpurush" w:eastAsia="Kalpurush" w:hAnsi="Kalpurush"/>
        </w:rPr>
        <w:t xml:space="preserve"/>
      </w:r>
    </w:p>
    <w:p>
      <w:r>
        <w:rPr>
          <w:rFonts w:ascii="Kalpurush" w:cs="Kalpurush" w:eastAsia="Kalpurush" w:hAnsi="Kalpurush"/>
          <w:sz w:val="20"/>
          <w:szCs w:val="20"/>
        </w:rPr>
        <w:t xml:space="preserve">১২৫৯ দাগের মোট আয়তন ৪৭৭ শতাংশ (৪.৭৭ একর)।</w:t>
      </w:r>
    </w:p>
    <w:p>
      <w:r>
        <w:rPr>
          <w:rFonts w:ascii="Kalpurush" w:cs="Kalpurush" w:eastAsia="Kalpurush" w:hAnsi="Kalpurush"/>
          <w:sz w:val="20"/>
          <w:szCs w:val="20"/>
        </w:rPr>
        <w:t xml:space="preserve">সরকারি খাস খতিয়ানভুক্ত জমি ১৩৭ শতাংশ।</w:t>
      </w:r>
    </w:p>
    <w:p>
      <w:r>
        <w:rPr>
          <w:rFonts w:ascii="Kalpurush" w:cs="Kalpurush" w:eastAsia="Kalpurush" w:hAnsi="Kalpurush"/>
          <w:sz w:val="20"/>
          <w:szCs w:val="20"/>
        </w:rPr>
        <w:t xml:space="preserve">অবশিষ্ট = ৩৪০ শতাংশ। যাহা বাদীপক্ষের দাবির সহিত সম্পূর্ণ সামঞ্জস্যপূর্ণ।</w:t>
      </w:r>
    </w:p>
    <w:p>
      <w:r>
        <w:rPr>
          <w:rFonts w:ascii="Kalpurush" w:cs="Kalpurush" w:eastAsia="Kalpurush" w:hAnsi="Kalpurush"/>
        </w:rPr>
        <w:t xml:space="preserve"/>
      </w:r>
    </w:p>
    <w:p>
      <w:r>
        <w:rPr>
          <w:rFonts w:ascii="Kalpurush" w:cs="Kalpurush" w:eastAsia="Kalpurush" w:hAnsi="Kalpurush"/>
          <w:sz w:val="20"/>
          <w:szCs w:val="20"/>
        </w:rPr>
        <w:t xml:space="preserve">On the respondents’ own stated figures, their acreage narrative totals 486 decimals (349 + 137) against the stated total of 477 decimals. Unless the underlying figures are otherwise explained from the record, this creates a material internal inconsistency।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XVIII. একই Dag ≠ একই Tenancy এবং পক্ষভুক্তির প্রশ্ন</w:t>
      </w:r>
    </w:p>
    <w:p>
      <w:r>
        <w:rPr>
          <w:rFonts w:ascii="Kalpurush" w:cs="Kalpurush" w:eastAsia="Kalpurush" w:hAnsi="Kalpurush"/>
        </w:rPr>
        <w:t xml:space="preserve"/>
      </w:r>
    </w:p>
    <w:p>
      <w:r>
        <w:rPr>
          <w:rFonts w:ascii="Kalpurush" w:cs="Kalpurush" w:eastAsia="Kalpurush" w:hAnsi="Kalpurush"/>
          <w:sz w:val="20"/>
          <w:szCs w:val="20"/>
        </w:rPr>
        <w:t xml:space="preserve">On the evidence, the Government portion is separately recorded in Khas Khatian No. 1, while SA 238 records the private raiyati interest. Therefore, mere identity of dag number does not by itself establish that both interests form one common partition pool। </w:t>
      </w:r>
    </w:p>
    <w:p>
      <w:r>
        <w:rPr>
          <w:rFonts w:ascii="Kalpurush" w:cs="Kalpurush" w:eastAsia="Kalpurush" w:hAnsi="Kalpurush"/>
        </w:rPr>
        <w:t xml:space="preserve"/>
      </w:r>
    </w:p>
    <w:p>
      <w:r>
        <w:rPr>
          <w:rFonts w:ascii="Kalpurush" w:cs="Kalpurush" w:eastAsia="Kalpurush" w:hAnsi="Kalpurush"/>
          <w:sz w:val="20"/>
          <w:szCs w:val="20"/>
        </w:rPr>
        <w:t xml:space="preserve">যেহেতু আপীল্যান্টগণ সরকারি জমির উপর কোনো relief চান নাই, তাই উহা partition-এর subject matter না হওয়াকে hotchpot defect বা non-joinder বলা আইনত ভ্রান্ত।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XIX. ১ 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১ নং রেসপন্ডেন্টের solemnama/consent, যদি বিধি অনুসারে বৈধ ও প্রমাণিত হয়, তবে তাহা parties-এর inter se position নির্ধারণে relevant consideration।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XX. Jurisdictional Caveat (Section 145A)</w:t>
      </w:r>
    </w:p>
    <w:p>
      <w:r>
        <w:rPr>
          <w:rFonts w:ascii="Kalpurush" w:cs="Kalpurush" w:eastAsia="Kalpurush" w:hAnsi="Kalpurush"/>
        </w:rPr>
        <w:t xml:space="preserve"/>
      </w:r>
    </w:p>
    <w:p>
      <w:r>
        <w:rPr>
          <w:rFonts w:ascii="Kalpurush" w:cs="Kalpurush" w:eastAsia="Kalpurush" w:hAnsi="Kalpurush"/>
          <w:sz w:val="20"/>
          <w:szCs w:val="20"/>
        </w:rPr>
        <w:t xml:space="preserve">The appellants are not seeking an independent correction of the SA record through this appeal; rather, the evidentiary effect of the alleged historical correction relied upon by the respondents is being examined insofar as it bears upon the parties’ competing claims in the present partition proceeding।</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নিবেদন</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বক্তব্য অত্যন্ত সুস্পষ্ট:</w:t>
      </w:r>
    </w:p>
    <w:p>
      <w:pPr>
        <w:ind w:left="720"/>
      </w:pPr>
      <w:r>
        <w:rPr>
          <w:rFonts w:ascii="Kalpurush" w:cs="Kalpurush" w:eastAsia="Kalpurush" w:hAnsi="Kalpurush"/>
          <w:b/>
          <w:bCs/>
          <w:i/>
          <w:iCs/>
          <w:sz w:val="20"/>
          <w:szCs w:val="20"/>
        </w:rPr>
        <w:t xml:space="preserve">"আমরা বলছি না যে SA 238 অখণ্ডনীয়। আমরা বলছি—বিবাদীপক্ষ যে particular corrective event-এর উপর নির্ভর করছে, সেটি প্রমাণিত নয়।"</w:t>
      </w:r>
    </w:p>
    <w:p>
      <w:r>
        <w:rPr>
          <w:rFonts w:ascii="Kalpurush" w:cs="Kalpurush" w:eastAsia="Kalpurush" w:hAnsi="Kalpurush"/>
        </w:rPr>
        <w:t xml:space="preserve"/>
      </w:r>
    </w:p>
    <w:p>
      <w:r>
        <w:rPr>
          <w:rFonts w:ascii="Kalpurush" w:cs="Kalpurush" w:eastAsia="Kalpurush" w:hAnsi="Kalpurush"/>
          <w:sz w:val="20"/>
          <w:szCs w:val="20"/>
        </w:rPr>
        <w:t xml:space="preserve">বিবাদীপক্ষ SA 238 ভুল প্রমাণের এই statutory burden পালনে সম্পূর্ণরূপে ব্যর্থ হইয়াছে। আমাদের বিনীত নিবেদন—তাহা প্রমাণিত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প্রার্থিত প্রতিকার</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রেকর্ডে প্রমাণিত SA ২৩৮ নং খতিয়ানের ভিত্তিতে আপীল্যান্টদের প্রাপ্য অংশ নির্ধারণপূর্বক বাটোয়ারার preliminary decree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Government-এর পৃথক khatian/interest-এর উপর কোনো relief না দিয়া কেবল SA ২৩৮-ভুক্ত ব্যক্তিগত সম্পত্তির অংশ নির্ধারণ ও partition-এর জন্য প্রয়োজনীয় ব্যবস্থা গ্রহণ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শুনানির জন্য “Nine-Step Locked Sequence”</w:t>
      </w:r>
    </w:p>
    <w:p>
      <w:r>
        <w:rPr>
          <w:rFonts w:ascii="Kalpurush" w:cs="Kalpurush" w:eastAsia="Kalpurush" w:hAnsi="Kalpurush"/>
        </w:rPr>
        <w:t xml:space="preserve"/>
      </w:r>
    </w:p>
    <w:p>
      <w:r>
        <w:rPr>
          <w:rFonts w:ascii="Kalpurush" w:cs="Kalpurush" w:eastAsia="Kalpurush" w:hAnsi="Kalpurush"/>
          <w:sz w:val="20"/>
          <w:szCs w:val="20"/>
        </w:rPr>
        <w:t xml:space="preserve">উকিলের মৌখিক argument বারবার নিম্নোক্ত ক্রমে ফিরিয়া আসিবে:</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 → Section 144A presumption</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allege later correction</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Where is the parent order?</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What exactly did that order decide?</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What lawful process implemented it?</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Where is the authoritative documentary manifestation of the alleged substantive change?</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Why does the present District Record Room still record Abdul Ali?</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Why does the respondents’ own 1975 deed describe six dags if their theory is one dag?</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Even assuming Abdul Karim had some pre-SA interest, where is the lawful bridge from that interest to Sonabhanu’s present substantive interest?</w:t>
      </w:r>
    </w:p>
    <w:p>
      <w:r>
        <w:rPr>
          <w:rFonts w:ascii="Kalpurush" w:cs="Kalpurush" w:eastAsia="Kalpurush" w:hAnsi="Kalpurush"/>
        </w:rPr>
        <w:t xml:space="preserve"/>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2026-08-15T11:59:19.080Z</dcterms:created>
  <dcterms:modified xsi:type="dcterms:W3CDTF">2026-08-15T11:59:19.085Z</dcterms:modified>
</cp:coreProperties>
</file>

<file path=docProps/custom.xml><?xml version="1.0" encoding="utf-8"?>
<Properties xmlns="http://schemas.openxmlformats.org/officeDocument/2006/custom-properties" xmlns:vt="http://schemas.openxmlformats.org/officeDocument/2006/docPropsVTypes"/>
</file>