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pPr>
        <w:pStyle w:val="Heading2"/>
      </w:pPr>
      <w:r>
        <w:rPr>
          <w:rFonts w:ascii="Kalpurush" w:cs="Kalpurush" w:eastAsia="Kalpurush" w:hAnsi="Kalpurush"/>
          <w:sz w:val="20"/>
          <w:szCs w:val="20"/>
        </w:rPr>
        <w:t xml:space="preserve">আপীল মামলা নং ৩৮/২০২৬</w:t>
      </w:r>
    </w:p>
    <w:p>
      <w:pPr>
        <w:pStyle w:val="Heading3"/>
      </w:pPr>
      <w:r>
        <w:rPr>
          <w:rFonts w:ascii="Kalpurush" w:cs="Kalpurush" w:eastAsia="Kalpurush" w:hAnsi="Kalpurush"/>
          <w:sz w:val="20"/>
          <w:szCs w:val="20"/>
        </w:rPr>
        <w:t xml:space="preserve">বাটোয়ারা মামলা নং ৬৬/২০১৬, সখিপুর সিভিল জজ আদালত হইতে উদ্ভূত</w:t>
      </w:r>
    </w:p>
    <w:p>
      <w:r>
        <w:rPr>
          <w:rFonts w:ascii="Kalpurush" w:cs="Kalpurush" w:eastAsia="Kalpurush" w:hAnsi="Kalpurush"/>
          <w:b/>
          <w:bCs/>
          <w:sz w:val="20"/>
          <w:szCs w:val="20"/>
        </w:rPr>
        <w:t xml:space="preserve">হাতেম আলী ও অন্যান্য (আপীল্যান্ট/বাদী) বনাম আলহাজ উদ্দিন ও অন্যান্য (রেসপন্ডেন্ট/বিবাদী)</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আপীল্যান্টপক্ষের পূর্ণাঙ্গ লিখিত যুক্তিতর্ক (Version 75 — Court-Safe, Record-Strict Definitive Brief)</w:t>
      </w:r>
    </w:p>
    <w:p>
      <w:r>
        <w:rPr>
          <w:rFonts w:ascii="Kalpurush" w:cs="Kalpurush" w:eastAsia="Kalpurush" w:hAnsi="Kalpurush"/>
        </w:rPr>
        <w:t xml:space="preserve"/>
      </w:r>
    </w:p>
    <w:p>
      <w:r>
        <w:rPr>
          <w:rFonts w:ascii="Kalpurush" w:cs="Kalpurush" w:eastAsia="Kalpurush" w:hAnsi="Kalpurush"/>
          <w:b/>
          <w:bCs/>
          <w:sz w:val="20"/>
          <w:szCs w:val="20"/>
        </w:rPr>
        <w:t xml:space="preserve">তারিখ:</w:t>
      </w:r>
      <w:r>
        <w:rPr>
          <w:rFonts w:ascii="Kalpurush" w:cs="Kalpurush" w:eastAsia="Kalpurush" w:hAnsi="Kalpurush"/>
          <w:sz w:val="20"/>
          <w:szCs w:val="20"/>
        </w:rPr>
        <w:t xml:space="preserve"> ১৫ আগস্ট ২০২৬ | </w:t>
      </w:r>
      <w:r>
        <w:rPr>
          <w:rFonts w:ascii="Kalpurush" w:cs="Kalpurush" w:eastAsia="Kalpurush" w:hAnsi="Kalpurush"/>
          <w:b/>
          <w:bCs/>
          <w:sz w:val="20"/>
          <w:szCs w:val="20"/>
        </w:rPr>
        <w:t xml:space="preserve">আদালত:</w:t>
      </w:r>
      <w:r>
        <w:rPr>
          <w:rFonts w:ascii="Kalpurush" w:cs="Kalpurush" w:eastAsia="Kalpurush" w:hAnsi="Kalpurush"/>
          <w:sz w:val="20"/>
          <w:szCs w:val="20"/>
        </w:rPr>
        <w:t xml:space="preserve"> জেলা জজ আদালত, টাঙ্গাইল</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শুনানিতে ৫ মিনিটের রোডম্যাপ (5-Minute Oral Presentation Roadmap)</w:t>
      </w:r>
    </w:p>
    <w:p>
      <w:r>
        <w:rPr>
          <w:rFonts w:ascii="Kalpurush" w:cs="Kalpurush" w:eastAsia="Kalpurush" w:hAnsi="Kalpurush"/>
        </w:rPr>
        <w:t xml:space="preserve"/>
      </w:r>
    </w:p>
    <w:p>
      <w:r>
        <w:rPr>
          <w:rFonts w:ascii="Kalpurush" w:cs="Kalpurush" w:eastAsia="Kalpurush" w:hAnsi="Kalpurush"/>
          <w:b/>
          <w:bCs/>
          <w:sz w:val="20"/>
          <w:szCs w:val="20"/>
        </w:rPr>
        <w:t xml:space="preserve">প্রথম মিনিট (The Framing &amp; Starting Point):</w:t>
      </w:r>
    </w:p>
    <w:p>
      <w:pPr>
        <w:ind w:left="720"/>
      </w:pPr>
      <w:r>
        <w:rPr>
          <w:rFonts w:ascii="Kalpurush" w:cs="Kalpurush" w:eastAsia="Kalpurush" w:hAnsi="Kalpurush"/>
          <w:i/>
          <w:iCs/>
          <w:sz w:val="20"/>
          <w:szCs w:val="20"/>
        </w:rPr>
        <w:t xml:space="preserve">*"মহামান্য আদালত, এই আপীলের নিষ্পত্তির জন্য ১৯৩৪ সালের কথিত পত্তনের সম্পূর্ণ ইতিহাস পুনর্গঠন করা আবশ্যক নয়। বর্তমান বিরোধের প্রকৃত কেন্দ্রবিন্দু হলো — রাষ্ট্রের চূড়ান্তভাবে প্রকাশিত SA ২৩৮ নং খতিয়ান, যেখানে আব্দুল আলী ১৬ আনা একক রায়ত হিসেবে রেকর্ডভুক্ত, সেটি পরবর্তীকালে আইনসম্মতভাবে কীভাবে এবং কোন প্রমাণের ভিত্তিতে পরাস্ত হয়েছে। আমাদের বিনীত বক্তব্য খুব সরল: যে পক্ষ একটি চূড়ান্ত প্রকাশিত Record of Rights-কে ভুল বা সংশোধিত দাবি করে, সেই দাবির দালিলিক ভিত্তি প্রমাণের প্রাথমিক দায়িত্ব তাহারই।"*</w:t>
      </w:r>
    </w:p>
    <w:p>
      <w:r>
        <w:rPr>
          <w:rFonts w:ascii="Kalpurush" w:cs="Kalpurush" w:eastAsia="Kalpurush" w:hAnsi="Kalpurush"/>
        </w:rPr>
        <w:t xml:space="preserve"/>
      </w:r>
    </w:p>
    <w:p>
      <w:r>
        <w:rPr>
          <w:rFonts w:ascii="Kalpurush" w:cs="Kalpurush" w:eastAsia="Kalpurush" w:hAnsi="Kalpurush"/>
          <w:b/>
          <w:bCs/>
          <w:sz w:val="20"/>
          <w:szCs w:val="20"/>
        </w:rPr>
        <w:t xml:space="preserve">দ্বিতীয় মিনিট (The Statutory Presumption &amp; Legal Formulation):</w:t>
      </w:r>
    </w:p>
    <w:p>
      <w:pPr>
        <w:ind w:left="720"/>
      </w:pPr>
      <w:r>
        <w:rPr>
          <w:rFonts w:ascii="Kalpurush" w:cs="Kalpurush" w:eastAsia="Kalpurush" w:hAnsi="Kalpurush"/>
          <w:i/>
          <w:iCs/>
          <w:sz w:val="20"/>
          <w:szCs w:val="20"/>
        </w:rPr>
        <w:t xml:space="preserve">*"আমরা বলছি না SA খতিয়ান কোনো অবস্থাতেই ভুল হতে পারে না। সংবিধিবদ্ধ বিধান ও নজির অনুযায়ী Record of Rights-এর presumption হলো rebuttable; কিন্তু সেই অনুমান খণ্ডন করতে হলে challenger-কে নির্ভরযোগ্য ও সুনির্দিষ্ট দালিলিক সাক্ষ্য (reliable evidence) উপস্থাপন করতে হবে — কেবল মৌখিক দাবি যথেষ্ট নয় (Evidence Act, Section 103; 50 DLR 186; 56 DLR (AD) 53)। বাদীপক্ষ সইমোহরি SA ২৩৮ খতিয়ান দাখিল করে প্রাথমিক দায়িত্ব সম্পূর্ণ পূরণ করিয়াছে।"*</w:t>
      </w:r>
    </w:p>
    <w:p>
      <w:r>
        <w:rPr>
          <w:rFonts w:ascii="Kalpurush" w:cs="Kalpurush" w:eastAsia="Kalpurush" w:hAnsi="Kalpurush"/>
        </w:rPr>
        <w:t xml:space="preserve"/>
      </w:r>
    </w:p>
    <w:p>
      <w:r>
        <w:rPr>
          <w:rFonts w:ascii="Kalpurush" w:cs="Kalpurush" w:eastAsia="Kalpurush" w:hAnsi="Kalpurush"/>
          <w:b/>
          <w:bCs/>
          <w:sz w:val="20"/>
          <w:szCs w:val="20"/>
        </w:rPr>
        <w:t xml:space="preserve">第三 মিনিট (The Missing Foundation of Defence):</w:t>
      </w:r>
    </w:p>
    <w:p>
      <w:pPr>
        <w:ind w:left="720"/>
      </w:pPr>
      <w:r>
        <w:rPr>
          <w:rFonts w:ascii="Kalpurush" w:cs="Kalpurush" w:eastAsia="Kalpurush" w:hAnsi="Kalpurush"/>
          <w:i/>
          <w:iCs/>
          <w:sz w:val="20"/>
          <w:szCs w:val="20"/>
        </w:rPr>
        <w:t xml:space="preserve">*"বিবাদীপক্ষের দাবি দাঁড়াইয়া আছে দুইটি তথ্যের উপর: (১) ১৯৩৪ সালের কথিত root tenancy, এবং (২) ১৯৬৯ সালের কথিত ১১৮১ নং Misc Case। অথচ বিচারিক নথিতে মূল পাট্টা বা কবুলিয়ত নাই, এবং কথিত Misc Case-এর আরজি, রায়, ডিক্রি, আদেশনামা বা সইমোহরি কপি — কিছুই দাখিল করা হয় নাই। এমনকি বিবাদীরা মূল রেকর্ডও তলব করান নাই। মূল বিচারিক আদেশ অপ্রমাণিত থাকিলে সহকারী কমিশনার (ভূমি) অফিসের একটি ব্যাখ্যাহীন ভলিউম নোট নিজে থেকে স্বত্ব সৃষ্টি বা প্রমাণ করতে পারে না (53 DLR 19; 27 BLD 544)।"*</w:t>
      </w:r>
    </w:p>
    <w:p>
      <w:r>
        <w:rPr>
          <w:rFonts w:ascii="Kalpurush" w:cs="Kalpurush" w:eastAsia="Kalpurush" w:hAnsi="Kalpurush"/>
        </w:rPr>
        <w:t xml:space="preserve"/>
      </w:r>
    </w:p>
    <w:p>
      <w:r>
        <w:rPr>
          <w:rFonts w:ascii="Kalpurush" w:cs="Kalpurush" w:eastAsia="Kalpurush" w:hAnsi="Kalpurush"/>
          <w:b/>
          <w:bCs/>
          <w:sz w:val="20"/>
          <w:szCs w:val="20"/>
        </w:rPr>
        <w:t xml:space="preserve">চতুর্থ মিনিট (The Material Documentary Contradiction — 1975 Deed):</w:t>
      </w:r>
    </w:p>
    <w:p>
      <w:pPr>
        <w:ind w:left="720"/>
      </w:pPr>
      <w:r>
        <w:rPr>
          <w:rFonts w:ascii="Kalpurush" w:cs="Kalpurush" w:eastAsia="Kalpurush" w:hAnsi="Kalpurush"/>
          <w:i/>
          <w:iCs/>
          <w:sz w:val="20"/>
          <w:szCs w:val="20"/>
        </w:rPr>
        <w:t xml:space="preserve">*"বিবাদীদের তলবকৃত AC Land ভলিউমে এবং সাক্ষীদের জেরায় SA ২৩৮ খতিয়ানে কেবল ১টি দাগের (১২৫৯ দাগ) কথা বলা হইয়াছে — তাও দাগের মোট পরিমাণের চেয়ে ৯ শতাংশ বেশি ভুল পরিমাপে। অথচ তাহাদের নিজেদেরই সম্পাদিত ও রেজিস্ট্রিকৃত ৩৫৯৬/১৯৭৫ নং দলিলে (Exhibit Kha-1) SA ২৩৮ খতিয়ানের অধীনে ১টি নহে, বরং ৬টি দাগের জমি হস্তান্তর করা হইয়াছে! এই দলিল কোনো জালিয়াতির অভিযোগ নয়; এটি একটি গুরুতর দালিলিক স্ববিরোধিতা, যা বিবাদীদের কথিত সংশোধনের ধারণাকে আদালতসমক্ষে মারাত্মকভাবে দুর্বল ও অকার্যকর করে।"*</w:t>
      </w:r>
    </w:p>
    <w:p>
      <w:r>
        <w:rPr>
          <w:rFonts w:ascii="Kalpurush" w:cs="Kalpurush" w:eastAsia="Kalpurush" w:hAnsi="Kalpurush"/>
        </w:rPr>
        <w:t xml:space="preserve"/>
      </w:r>
    </w:p>
    <w:p>
      <w:r>
        <w:rPr>
          <w:rFonts w:ascii="Kalpurush" w:cs="Kalpurush" w:eastAsia="Kalpurush" w:hAnsi="Kalpurush"/>
          <w:b/>
          <w:bCs/>
          <w:sz w:val="20"/>
          <w:szCs w:val="20"/>
        </w:rPr>
        <w:t xml:space="preserve">পঞ্চম মিনিট (The Trial Court Errors &amp; Prayer):</w:t>
      </w:r>
    </w:p>
    <w:p>
      <w:pPr>
        <w:ind w:left="720"/>
      </w:pPr>
      <w:r>
        <w:rPr>
          <w:rFonts w:ascii="Kalpurush" w:cs="Kalpurush" w:eastAsia="Kalpurush" w:hAnsi="Kalpurush"/>
          <w:i/>
          <w:iCs/>
          <w:sz w:val="20"/>
          <w:szCs w:val="20"/>
        </w:rPr>
        <w:t xml:space="preserve">*"বিজ্ঞ বিচারিক আদালত চারটি মৌলিক ভুল করিয়াছেন: (১) মূল প্রজা স্বত্বের দালিলিক প্রমাণ ছাড়াই অনুমান গ্রহণ করিয়াছেন, (২) অপ্রমাণিত Misc Case-এর আইনি ফলাফল প্রতিষ্ঠিত ধরে নিয়েছেন, (৩) সহকারী কমিশনার (ভূমি) অফিসের অধীনস্থ ভলিউম নোটকে মূল রেকর্ড রুমের সংবিধিবদ্ধ রেকর্ডের উপরে স্থান দিয়েছেন, এবং (৪) নিজস্ব দলিলের অখণ্ডনীয় বৈপরীত্য ও গাণিতিক অসামঞ্জস্য বিবেচনায় নেননি। অতএব নিম্ন আদালতের ০৫-০৪-২০২৬ তারিখের খারিজ রায় বাতিল করিয়া বাদীদের অনুকূলে প্রাথমিক ডিক্রি (Preliminary Decree) প্রদান ন্যায়বিচারের একমাত্র দাবি।"*</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প্রারম্ভিক বক্তব্য</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এই আপীলের নিষ্পত্তির জন্য ১৯৩৪ সালের কথিত পত্তনের সম্পূর্ণ ইতিহাস পুনর্গঠন করা আবশ্যক নয়। বর্তমান বিরোধের প্রকৃত কেন্দ্রবিন্দু হলো—রাষ্ট্রের চূড়ান্তভাবে প্রকাশিত SA ২৩৮ নং খতিয়ান, যেখানে আব্দুল আলী ১৬ আনা একক রায়ত হিসেবে রেকর্ডভুক্ত, সেটি পরবর্তীকালে আইনসম্মতভাবে কীভাবে এবং কোন প্রমাণের ভিত্তিতে পরাস্ত হয়েছে।</w:t>
      </w:r>
    </w:p>
    <w:p>
      <w:r>
        <w:rPr>
          <w:rFonts w:ascii="Kalpurush" w:cs="Kalpurush" w:eastAsia="Kalpurush" w:hAnsi="Kalpurush"/>
        </w:rPr>
        <w:t xml:space="preserve"/>
      </w:r>
    </w:p>
    <w:p>
      <w:r>
        <w:rPr>
          <w:rFonts w:ascii="Kalpurush" w:cs="Kalpurush" w:eastAsia="Kalpurush" w:hAnsi="Kalpurush"/>
          <w:sz w:val="20"/>
          <w:szCs w:val="20"/>
        </w:rPr>
        <w:t xml:space="preserve">আমাদের বিনীত বক্তব্য খুব সরল:</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"যে পক্ষ একটি চূড়ান্ত প্রকাশিত Record of Rights-কে ভুল, সংশোধিত বা title-displacing বলে দাবি করছে, সেই পক্ষকে সেই দাবির আইনগত ও দালিলিক ভিত্তি প্রমাণ করতে হবে।"</w:t>
      </w:r>
    </w:p>
    <w:p>
      <w:r>
        <w:rPr>
          <w:rFonts w:ascii="Kalpurush" w:cs="Kalpurush" w:eastAsia="Kalpurush" w:hAnsi="Kalpurush"/>
        </w:rPr>
        <w:t xml:space="preserve"/>
      </w:r>
    </w:p>
    <w:p>
      <w:r>
        <w:rPr>
          <w:rFonts w:ascii="Kalpurush" w:cs="Kalpurush" w:eastAsia="Kalpurush" w:hAnsi="Kalpurush"/>
          <w:sz w:val="20"/>
          <w:szCs w:val="20"/>
        </w:rPr>
        <w:t xml:space="preserve">এই মামলায় সেই ভিত্তি কোথায়?</w:t>
      </w:r>
    </w:p>
    <w:p>
      <w:r>
        <w:rPr>
          <w:rFonts w:ascii="Kalpurush" w:cs="Kalpurush" w:eastAsia="Kalpurush" w:hAnsi="Kalpurush"/>
        </w:rPr>
        <w:t xml:space="preserve"/>
      </w:r>
    </w:p>
    <w:p>
      <w:r>
        <w:rPr>
          <w:rFonts w:ascii="Kalpurush" w:cs="Kalpurush" w:eastAsia="Kalpurush" w:hAnsi="Kalpurush"/>
          <w:sz w:val="20"/>
          <w:szCs w:val="20"/>
        </w:rPr>
        <w:t xml:space="preserve">একদিকে আছে জেলা প্রশাসকের Settlement Record Room-এর অপরিবর্তিত SA ২৩৮ নং খতিয়ান।</w:t>
      </w:r>
    </w:p>
    <w:p>
      <w:r>
        <w:rPr>
          <w:rFonts w:ascii="Kalpurush" w:cs="Kalpurush" w:eastAsia="Kalpurush" w:hAnsi="Kalpurush"/>
          <w:sz w:val="20"/>
          <w:szCs w:val="20"/>
        </w:rPr>
        <w:t xml:space="preserve">অন্যদিকে বিবাদীপক্ষ নির্ভর করছে—</w:t>
      </w:r>
    </w:p>
    <w:p>
      <w:r>
        <w:rPr>
          <w:rFonts w:ascii="Kalpurush" w:cs="Kalpurush" w:eastAsia="Kalpurush" w:hAnsi="Kalpurush"/>
          <w:sz w:val="20"/>
          <w:szCs w:val="20"/>
        </w:rPr>
        <w:t xml:space="preserve">$$\text{কথিত ১৯৩৪ সালের root tenancy} \longrightarrow \text{কথিত ১৯৬৯ সালের Misc Case} \longrightarrow \text{কথিত correction} \longrightarrow \text{AC Land volume entry}$$</w:t>
      </w:r>
    </w:p>
    <w:p>
      <w:r>
        <w:rPr>
          <w:rFonts w:ascii="Kalpurush" w:cs="Kalpurush" w:eastAsia="Kalpurush" w:hAnsi="Kalpurush"/>
        </w:rPr>
        <w:t xml:space="preserve"/>
      </w:r>
    </w:p>
    <w:p>
      <w:r>
        <w:rPr>
          <w:rFonts w:ascii="Kalpurush" w:cs="Kalpurush" w:eastAsia="Kalpurush" w:hAnsi="Kalpurush"/>
          <w:sz w:val="20"/>
          <w:szCs w:val="20"/>
        </w:rPr>
        <w:t xml:space="preserve">এই chain-এর সবচেয়ে গুরুত্বপূর্ণ দুইটি link—root tenancy এবং correction-এর parent order—কোনোটিই আদালতে দালিলিকভাবে প্রমাণিত হয়নি।</w:t>
      </w:r>
    </w:p>
    <w:p>
      <w:r>
        <w:rPr>
          <w:rFonts w:ascii="Kalpurush" w:cs="Kalpurush" w:eastAsia="Kalpurush" w:hAnsi="Kalpurush"/>
        </w:rPr>
        <w:t xml:space="preserve"/>
      </w:r>
    </w:p>
    <w:p>
      <w:r>
        <w:rPr>
          <w:rFonts w:ascii="Kalpurush" w:cs="Kalpurush" w:eastAsia="Kalpurush" w:hAnsi="Kalpurush"/>
          <w:sz w:val="20"/>
          <w:szCs w:val="20"/>
        </w:rPr>
        <w:t xml:space="preserve">সুতরাং প্রশ্নটি "কার গল্পটি বেশি বিশ্বাসযোগ্য" নয়। প্রশ্নটি হলো:</w:t>
      </w:r>
    </w:p>
    <w:p>
      <w:r>
        <w:rPr>
          <w:rFonts w:ascii="Kalpurush" w:cs="Kalpurush" w:eastAsia="Kalpurush" w:hAnsi="Kalpurush"/>
          <w:b/>
          <w:bCs/>
          <w:sz w:val="20"/>
          <w:szCs w:val="20"/>
        </w:rPr>
        <w:t xml:space="preserve">বিবাদীপক্ষ কি existing State Record-কে displace করার মতো legally admissible এবং reliable foundation প্রতিষ্ঠা করতে পেরেছে?</w:t>
      </w:r>
    </w:p>
    <w:p>
      <w:r>
        <w:rPr>
          <w:rFonts w:ascii="Kalpurush" w:cs="Kalpurush" w:eastAsia="Kalpurush" w:hAnsi="Kalpurush"/>
        </w:rPr>
        <w:t xml:space="preserve"/>
      </w:r>
    </w:p>
    <w:p>
      <w:r>
        <w:rPr>
          <w:rFonts w:ascii="Kalpurush" w:cs="Kalpurush" w:eastAsia="Kalpurush" w:hAnsi="Kalpurush"/>
          <w:sz w:val="20"/>
          <w:szCs w:val="20"/>
        </w:rPr>
        <w:t xml:space="preserve">আমাদের বিনীত বক্তব্য — </w:t>
      </w:r>
      <w:r>
        <w:rPr>
          <w:rFonts w:ascii="Kalpurush" w:cs="Kalpurush" w:eastAsia="Kalpurush" w:hAnsi="Kalpurush"/>
          <w:b/>
          <w:bCs/>
          <w:sz w:val="20"/>
          <w:szCs w:val="20"/>
        </w:rPr>
        <w:t xml:space="preserve">"পারে নাই।"</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 বিবাদীপক্ষ প্রথমে আব্দুল করিমের Root Tenancy প্রমাণ করিবে</w:t>
      </w:r>
    </w:p>
    <w:p>
      <w:r>
        <w:rPr>
          <w:rFonts w:ascii="Kalpurush" w:cs="Kalpurush" w:eastAsia="Kalpurush" w:hAnsi="Kalpurush"/>
        </w:rPr>
        <w:t xml:space="preserve"/>
      </w:r>
    </w:p>
    <w:p>
      <w:r>
        <w:rPr>
          <w:rFonts w:ascii="Kalpurush" w:cs="Kalpurush" w:eastAsia="Kalpurush" w:hAnsi="Kalpurush"/>
          <w:sz w:val="20"/>
          <w:szCs w:val="20"/>
        </w:rPr>
        <w:t xml:space="preserve">বিবাদীপক্ষের title theory-এর প্রথম ধাপ:</w:t>
      </w:r>
    </w:p>
    <w:p>
      <w:r>
        <w:rPr>
          <w:rFonts w:ascii="Kalpurush" w:cs="Kalpurush" w:eastAsia="Kalpurush" w:hAnsi="Kalpurush"/>
          <w:sz w:val="20"/>
          <w:szCs w:val="20"/>
        </w:rPr>
        <w:t xml:space="preserve">$$\text{Abdul Karim} \longrightarrow \text{Raiyat} \longrightarrow \text{Succession} \longrightarrow \text{Sonavanu} \longrightarrow \text{Present claim}$$</w:t>
      </w:r>
    </w:p>
    <w:p>
      <w:r>
        <w:rPr>
          <w:rFonts w:ascii="Kalpurush" w:cs="Kalpurush" w:eastAsia="Kalpurush" w:hAnsi="Kalpurush"/>
        </w:rPr>
        <w:t xml:space="preserve"/>
      </w:r>
    </w:p>
    <w:p>
      <w:r>
        <w:rPr>
          <w:rFonts w:ascii="Kalpurush" w:cs="Kalpurush" w:eastAsia="Kalpurush" w:hAnsi="Kalpurush"/>
          <w:sz w:val="20"/>
          <w:szCs w:val="20"/>
        </w:rPr>
        <w:t xml:space="preserve">কিন্তু এই chain-এর প্রথম link-টিই প্রমাণিত নয়।</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১.১ CS Record-এর অবস্থান</w:t>
      </w:r>
    </w:p>
    <w:p>
      <w:r>
        <w:rPr>
          <w:rFonts w:ascii="Kalpurush" w:cs="Kalpurush" w:eastAsia="Kalpurush" w:hAnsi="Kalpurush"/>
          <w:sz w:val="20"/>
          <w:szCs w:val="20"/>
        </w:rPr>
        <w:t xml:space="preserve">CS ২ নং খতিয়ানে নালিশী সম্পত্তি ব্যক্তিগত রায়তি জমি হিসেবে আব্দুল করিমের নামে রেকর্ডভুক্ত নয়; জমিটি নবাব এস্টেটের খাস সম্পত্তির অংশ হিসেবে প্রতিফলিত। অতএব পরবর্তী সময়ে আব্দুল করিম কীভাবে উক্ত জমির রায়ত হইলেন—এই foundational question-এর উত্তর বিবাদীপক্ষকেই দিতে হবে।</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১.২ কথিত ১৯৩৪ সালের settlement-এর foundational document কোথায়?</w:t>
      </w:r>
    </w:p>
    <w:p>
      <w:r>
        <w:rPr>
          <w:rFonts w:ascii="Kalpurush" w:cs="Kalpurush" w:eastAsia="Kalpurush" w:hAnsi="Kalpurush"/>
          <w:sz w:val="20"/>
          <w:szCs w:val="20"/>
        </w:rPr>
        <w:t xml:space="preserve">বিবাদীপক্ষের case যদি সত্যিই ১৯৩৪ সালের settlement-এর উপর দাঁড়ায়, তাহলে স্বাভাবিক documentary foundation হতে পারত—</w:t>
      </w:r>
    </w:p>
    <w:p>
      <w:pPr>
        <w:pStyle w:val="ListParagraph"/>
        <w:numPr>
          <w:ilvl w:val="0"/>
          <w:numId w:val="1"/>
        </w:numPr>
      </w:pPr>
      <w:r>
        <w:rPr>
          <w:rFonts w:ascii="Kalpurush" w:cs="Kalpurush" w:eastAsia="Kalpurush" w:hAnsi="Kalpurush"/>
          <w:sz w:val="20"/>
          <w:szCs w:val="20"/>
        </w:rPr>
        <w:t xml:space="preserve">Patta;</w:t>
      </w:r>
    </w:p>
    <w:p>
      <w:pPr>
        <w:pStyle w:val="ListParagraph"/>
        <w:numPr>
          <w:ilvl w:val="0"/>
          <w:numId w:val="1"/>
        </w:numPr>
      </w:pPr>
      <w:r>
        <w:rPr>
          <w:rFonts w:ascii="Kalpurush" w:cs="Kalpurush" w:eastAsia="Kalpurush" w:hAnsi="Kalpurush"/>
          <w:sz w:val="20"/>
          <w:szCs w:val="20"/>
        </w:rPr>
        <w:t xml:space="preserve">Kabuliyat;</w:t>
      </w:r>
    </w:p>
    <w:p>
      <w:pPr>
        <w:pStyle w:val="ListParagraph"/>
        <w:numPr>
          <w:ilvl w:val="0"/>
          <w:numId w:val="1"/>
        </w:numPr>
      </w:pPr>
      <w:r>
        <w:rPr>
          <w:rFonts w:ascii="Kalpurush" w:cs="Kalpurush" w:eastAsia="Kalpurush" w:hAnsi="Kalpurush"/>
          <w:sz w:val="20"/>
          <w:szCs w:val="20"/>
        </w:rPr>
        <w:t xml:space="preserve">Sanctioned settlement document;</w:t>
      </w:r>
    </w:p>
    <w:p>
      <w:pPr>
        <w:pStyle w:val="ListParagraph"/>
        <w:numPr>
          <w:ilvl w:val="0"/>
          <w:numId w:val="1"/>
        </w:numPr>
      </w:pPr>
      <w:r>
        <w:rPr>
          <w:rFonts w:ascii="Kalpurush" w:cs="Kalpurush" w:eastAsia="Kalpurush" w:hAnsi="Kalpurush"/>
          <w:sz w:val="20"/>
          <w:szCs w:val="20"/>
        </w:rPr>
        <w:t xml:space="preserve">অথবা সংশ্লিষ্ট কর্তৃপক্ষের অনুমোদিত কোনো primary record।</w:t>
      </w:r>
    </w:p>
    <w:p>
      <w:r>
        <w:rPr>
          <w:rFonts w:ascii="Kalpurush" w:cs="Kalpurush" w:eastAsia="Kalpurush" w:hAnsi="Kalpurush"/>
        </w:rPr>
        <w:t xml:space="preserve"/>
      </w:r>
    </w:p>
    <w:p>
      <w:r>
        <w:rPr>
          <w:rFonts w:ascii="Kalpurush" w:cs="Kalpurush" w:eastAsia="Kalpurush" w:hAnsi="Kalpurush"/>
          <w:sz w:val="20"/>
          <w:szCs w:val="20"/>
        </w:rPr>
        <w:t xml:space="preserve">কিন্তু এমন foundational document দাখিল না করেই শুধু পরবর্তী উত্তরাধিকার chain ধরে নেওয়া যায় না।</w:t>
      </w:r>
    </w:p>
    <w:p>
      <w:r>
        <w:rPr>
          <w:rFonts w:ascii="Kalpurush" w:cs="Kalpurush" w:eastAsia="Kalpurush" w:hAnsi="Kalpurush"/>
        </w:rPr>
        <w:t xml:space="preserve"/>
      </w:r>
    </w:p>
    <w:p>
      <w:r>
        <w:rPr>
          <w:rFonts w:ascii="Kalpurush" w:cs="Kalpurush" w:eastAsia="Kalpurush" w:hAnsi="Kalpurush"/>
          <w:sz w:val="20"/>
          <w:szCs w:val="20"/>
        </w:rPr>
        <w:t xml:space="preserve">এখানে আমাদের বক্তব্য এই নয় যে কোনো pre-SA right কখনোই থাকতে পারে না। বরং বক্তব্য আরও নির্দিষ্ট:</w:t>
      </w:r>
    </w:p>
    <w:p>
      <w:pPr>
        <w:ind w:left="720"/>
      </w:pPr>
      <w:r>
        <w:rPr>
          <w:rFonts w:ascii="Kalpurush" w:cs="Kalpurush" w:eastAsia="Kalpurush" w:hAnsi="Kalpurush"/>
          <w:b/>
          <w:bCs/>
          <w:i/>
          <w:iCs/>
          <w:sz w:val="20"/>
          <w:szCs w:val="20"/>
        </w:rPr>
        <w:t xml:space="preserve">"যে pre-SA right-এর অস্তিত্বকে বর্তমান title theory-এর foundation হিসেবে ব্যবহার করা হচ্ছে, তার existence প্রথমে নির্ভরযোগ্য দলিলে প্রমাণ করতে হবে।"</w:t>
      </w:r>
    </w:p>
    <w:p>
      <w:r>
        <w:rPr>
          <w:rFonts w:ascii="Kalpurush" w:cs="Kalpurush" w:eastAsia="Kalpurush" w:hAnsi="Kalpurush"/>
        </w:rPr>
        <w:t xml:space="preserve"/>
      </w:r>
    </w:p>
    <w:p>
      <w:r>
        <w:rPr>
          <w:rFonts w:ascii="Kalpurush" w:cs="Kalpurush" w:eastAsia="Kalpurush" w:hAnsi="Kalpurush"/>
          <w:sz w:val="20"/>
          <w:szCs w:val="20"/>
        </w:rPr>
        <w:t xml:space="preserve">এই distinction-টি অত্যন্ত গুরুত্বপূর্ণ।</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১.৩ প্রযোজ্য আইনি নজির (Relevant Authorities):</w:t>
      </w:r>
    </w:p>
    <w:p>
      <w:pPr>
        <w:ind w:left="720"/>
      </w:pPr>
      <w:r>
        <w:rPr>
          <w:rFonts w:ascii="Kalpurush" w:cs="Kalpurush" w:eastAsia="Kalpurush" w:hAnsi="Kalpurush"/>
          <w:b/>
          <w:bCs/>
          <w:i/>
          <w:iCs/>
          <w:sz w:val="20"/>
          <w:szCs w:val="20"/>
        </w:rPr>
        <w:t xml:space="preserve">Harun-al-Rashid Mollah vs. Bangladesh, 12 BLC (AD) 79:</w:t>
      </w:r>
    </w:p>
    <w:p>
      <w:pPr>
        <w:ind w:left="720"/>
      </w:pPr>
      <w:r>
        <w:rPr>
          <w:rFonts w:ascii="Kalpurush" w:cs="Kalpurush" w:eastAsia="Kalpurush" w:hAnsi="Kalpurush"/>
          <w:i/>
          <w:iCs/>
          <w:sz w:val="20"/>
          <w:szCs w:val="20"/>
        </w:rPr>
        <w:t xml:space="preserve">Court of Wards / Nawab Estate-এর settlement-এর বৈধতার জন্য যথাযথ কর্তৃপক্ষের লিখিত অনুমোদনের আবশ্যকতা।</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Noor Mohammad Khan vs. Government, 42 DLR (HD) 434:</w:t>
      </w:r>
    </w:p>
    <w:p>
      <w:pPr>
        <w:ind w:left="720"/>
      </w:pPr>
      <w:r>
        <w:rPr>
          <w:rFonts w:ascii="Kalpurush" w:cs="Kalpurush" w:eastAsia="Kalpurush" w:hAnsi="Kalpurush"/>
          <w:i/>
          <w:iCs/>
          <w:sz w:val="20"/>
          <w:szCs w:val="20"/>
        </w:rPr>
        <w:t xml:space="preserve">Court of Wards-এর জমিতে অননুমোদিত settlement-related document দ্বারা রায়তি স্বত্ব সৃষ্টি না হওয়ার নীতি।</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Md. Shajahan Bhuiyan vs. Md. Nurul Alam, 4 SCOB [2015] HCD 52:</w:t>
      </w:r>
    </w:p>
    <w:p>
      <w:pPr>
        <w:ind w:left="720"/>
      </w:pPr>
      <w:r>
        <w:rPr>
          <w:rFonts w:ascii="Kalpurush" w:cs="Kalpurush" w:eastAsia="Kalpurush" w:hAnsi="Kalpurush"/>
          <w:i/>
          <w:iCs/>
          <w:sz w:val="20"/>
          <w:szCs w:val="20"/>
        </w:rPr>
        <w:t xml:space="preserve">State Acquisition-এর পর unregistered patta-ভিত্তিক দাবি আইনত কার্যকর থাকে না—এই নীতির প্রয়োগ।</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Shafiullah vs. Sultan Ahmad Mir, 6 BLD (AD) 70:</w:t>
      </w:r>
    </w:p>
    <w:p>
      <w:pPr>
        <w:ind w:left="720"/>
      </w:pPr>
      <w:r>
        <w:rPr>
          <w:rFonts w:ascii="Kalpurush" w:cs="Kalpurush" w:eastAsia="Kalpurush" w:hAnsi="Kalpurush"/>
          <w:i/>
          <w:iCs/>
          <w:sz w:val="20"/>
          <w:szCs w:val="20"/>
        </w:rPr>
        <w:t xml:space="preserve">প্রজাস্বত্বের মর্যাদা ব্যক্তিগত উত্তরাধিকার আইনের দ্বারা নহে, বরং জমিদারী পত্তন বা রাষ্ট্রীয় স্বীকৃতির দ্বারাই নির্ধারিত হয়।</w:t>
      </w:r>
    </w:p>
    <w:p>
      <w:r>
        <w:rPr>
          <w:rFonts w:ascii="Kalpurush" w:cs="Kalpurush" w:eastAsia="Kalpurush" w:hAnsi="Kalpurush"/>
        </w:rPr>
        <w:t xml:space="preserve"/>
      </w:r>
    </w:p>
    <w:p>
      <w:r>
        <w:rPr>
          <w:rFonts w:ascii="Kalpurush" w:cs="Kalpurush" w:eastAsia="Kalpurush" w:hAnsi="Kalpurush"/>
          <w:sz w:val="20"/>
          <w:szCs w:val="20"/>
        </w:rPr>
        <w:t xml:space="preserve">অতএব, বিবাদীপক্ষের root tenancy documentary foundation ছাড়া পরবর্তী inheritance theory-কে স্বাধীন title হিসেবে গ্রহণ করা আইনগতভাবে নিরাপদ নয়।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II. SA ২৩৮ হলো বর্তমান বিতর্কের Starting Point</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 এখানে একটি গুরুত্বপূর্ণ distinction রাখা দরকার।</w:t>
      </w:r>
    </w:p>
    <w:p>
      <w:r>
        <w:rPr>
          <w:rFonts w:ascii="Kalpurush" w:cs="Kalpurush" w:eastAsia="Kalpurush" w:hAnsi="Kalpurush"/>
        </w:rPr>
        <w:t xml:space="preserve"/>
      </w:r>
    </w:p>
    <w:p>
      <w:r>
        <w:rPr>
          <w:rFonts w:ascii="Kalpurush" w:cs="Kalpurush" w:eastAsia="Kalpurush" w:hAnsi="Kalpurush"/>
          <w:sz w:val="20"/>
          <w:szCs w:val="20"/>
        </w:rPr>
        <w:t xml:space="preserve">আমরা বলছি না SA ২৩৮ নিজে title সৃষ্টি করেছে। আমরা বলছি—বর্তমান record অনুযায়ী রাষ্ট্রের final Record of Rights-এ আব্দুল আলীকে ১৬ আনা একক রায়ত হিসেবে record করা হয়েছে। এই final record-এর legal presumption আছে এবং সেটিকে challenge করলে challenger-এর reliable evidence দিতে হবে।</w:t>
      </w:r>
    </w:p>
    <w:p>
      <w:r>
        <w:rPr>
          <w:rFonts w:ascii="Kalpurush" w:cs="Kalpurush" w:eastAsia="Kalpurush" w:hAnsi="Kalpurush"/>
        </w:rPr>
        <w:t xml:space="preserve"/>
      </w:r>
    </w:p>
    <w:p>
      <w:r>
        <w:rPr>
          <w:rFonts w:ascii="Kalpurush" w:cs="Kalpurush" w:eastAsia="Kalpurush" w:hAnsi="Kalpurush"/>
          <w:sz w:val="20"/>
          <w:szCs w:val="20"/>
        </w:rPr>
        <w:t xml:space="preserve">এই approach-ই আইনগতভাবে সবচেয়ে নিরাপদ ও সঠিক।</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২.১ সংবিধিবদ্ধ অনুমানের সুনির্দিষ্ট আইনি রূপরেখা (Statutory Presumption):</w:t>
      </w:r>
    </w:p>
    <w:p>
      <w:pPr>
        <w:ind w:left="720"/>
      </w:pPr>
      <w:r>
        <w:rPr>
          <w:rFonts w:ascii="Kalpurush" w:cs="Kalpurush" w:eastAsia="Kalpurush" w:hAnsi="Kalpurush"/>
          <w:b/>
          <w:bCs/>
          <w:i/>
          <w:iCs/>
          <w:sz w:val="20"/>
          <w:szCs w:val="20"/>
        </w:rPr>
        <w:t xml:space="preserve">Dayal Chandra Mondal vs. Assistant Custodian, 50 DLR 186:</w:t>
      </w:r>
    </w:p>
    <w:p>
      <w:pPr>
        <w:ind w:left="720"/>
      </w:pPr>
      <w:r>
        <w:rPr>
          <w:rFonts w:ascii="Kalpurush" w:cs="Kalpurush" w:eastAsia="Kalpurush" w:hAnsi="Kalpurush"/>
          <w:i/>
          <w:iCs/>
          <w:sz w:val="20"/>
          <w:szCs w:val="20"/>
        </w:rPr>
        <w:t xml:space="preserve">*"A record of rights finally published and revised under section 144A of the S.A.T. Act has a presumption of correctness and that presumption continues till it is rebutted by reliable evidence."*</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Government of Bangladesh vs. AKM Abdul Hye, 56 DLR (AD) 53:</w:t>
      </w:r>
    </w:p>
    <w:p>
      <w:pPr>
        <w:ind w:left="720"/>
      </w:pPr>
      <w:r>
        <w:rPr>
          <w:rFonts w:ascii="Kalpurush" w:cs="Kalpurush" w:eastAsia="Kalpurush" w:hAnsi="Kalpurush"/>
          <w:i/>
          <w:iCs/>
          <w:sz w:val="20"/>
          <w:szCs w:val="20"/>
        </w:rPr>
        <w:t xml:space="preserve">Record-of-rights-এর evidentiary presumption সম্পর্কিত আপীল বিভাগের সুপ্রতিষ্ঠিত সিদ্ধান্ত।</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Md. Azizul Hoque vs. Md. Akbar Ali, 10 BLT (AD) 105:</w:t>
      </w:r>
    </w:p>
    <w:p>
      <w:pPr>
        <w:ind w:left="720"/>
      </w:pPr>
      <w:r>
        <w:rPr>
          <w:rFonts w:ascii="Kalpurush" w:cs="Kalpurush" w:eastAsia="Kalpurush" w:hAnsi="Kalpurush"/>
          <w:i/>
          <w:iCs/>
          <w:sz w:val="20"/>
          <w:szCs w:val="20"/>
        </w:rPr>
        <w:t xml:space="preserve">রেকর্ড ভুল প্রমাণের সম্পূর্ণ দায়িত্ব চ্যালেঞ্জকারী পক্ষের।</w:t>
      </w:r>
    </w:p>
    <w:p>
      <w:r>
        <w:rPr>
          <w:rFonts w:ascii="Kalpurush" w:cs="Kalpurush" w:eastAsia="Kalpurush" w:hAnsi="Kalpurush"/>
        </w:rPr>
        <w:t xml:space="preserve"/>
      </w:r>
    </w:p>
    <w:p>
      <w:r>
        <w:rPr>
          <w:rFonts w:ascii="Kalpurush" w:cs="Kalpurush" w:eastAsia="Kalpurush" w:hAnsi="Kalpurush"/>
          <w:sz w:val="20"/>
          <w:szCs w:val="20"/>
        </w:rPr>
        <w:t xml:space="preserve">অতএব correct legal formulation হলো:</w:t>
      </w:r>
    </w:p>
    <w:p>
      <w:pPr>
        <w:ind w:left="720"/>
      </w:pPr>
      <w:r>
        <w:rPr>
          <w:rFonts w:ascii="Kalpurush" w:cs="Kalpurush" w:eastAsia="Kalpurush" w:hAnsi="Kalpurush"/>
          <w:b/>
          <w:bCs/>
          <w:i/>
          <w:iCs/>
          <w:sz w:val="20"/>
          <w:szCs w:val="20"/>
        </w:rPr>
        <w:t xml:space="preserve">"SA 238 is presumptively correct; it is rebuttable, but it must be rebutted by evidence — not merely by assertion."</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III. ১৯৫৭ সালের Deed No. 2398 — Chronology সঠিকভাবে বোঝা আবশ্যক</w:t>
      </w:r>
    </w:p>
    <w:p>
      <w:r>
        <w:rPr>
          <w:rFonts w:ascii="Kalpurush" w:cs="Kalpurush" w:eastAsia="Kalpurush" w:hAnsi="Kalpurush"/>
        </w:rPr>
        <w:t xml:space="preserve"/>
      </w:r>
    </w:p>
    <w:p>
      <w:r>
        <w:rPr>
          <w:rFonts w:ascii="Kalpurush" w:cs="Kalpurush" w:eastAsia="Kalpurush" w:hAnsi="Kalpurush"/>
          <w:sz w:val="20"/>
          <w:szCs w:val="20"/>
        </w:rPr>
        <w:t xml:space="preserve">এখানে যুক্তির ধারাবাহিকতা সুস্পষ্ট রাখা প্রয়োজন:</w:t>
      </w:r>
    </w:p>
    <w:p>
      <w:r>
        <w:rPr>
          <w:rFonts w:ascii="Kalpurush" w:cs="Kalpurush" w:eastAsia="Kalpurush" w:hAnsi="Kalpurush"/>
        </w:rPr>
        <w:t xml:space="preserve"/>
      </w:r>
    </w:p>
    <w:p>
      <w:r>
        <w:rPr>
          <w:rFonts w:ascii="Kalpurush" w:cs="Kalpurush" w:eastAsia="Kalpurush" w:hAnsi="Kalpurush"/>
          <w:sz w:val="20"/>
          <w:szCs w:val="20"/>
        </w:rPr>
        <w:t xml:space="preserve">২৩৯৮/১৯৫৭ নং রেজিস্ট্রিকৃত দলিলকে SA Record-এর “পরবর্তী” কোনো স্বত্ব সৃষ্টির লেনদেন বলা হইতেছে না। কারণ SA operation-এর সময়কাল এবং দলিলের তারিখ বিবেচনায় উভয় ঘটনাই সমসাময়িক সময়ের মধ্যে পড়ে।</w:t>
      </w:r>
    </w:p>
    <w:p>
      <w:r>
        <w:rPr>
          <w:rFonts w:ascii="Kalpurush" w:cs="Kalpurush" w:eastAsia="Kalpurush" w:hAnsi="Kalpurush"/>
        </w:rPr>
        <w:t xml:space="preserve"/>
      </w:r>
    </w:p>
    <w:p>
      <w:r>
        <w:rPr>
          <w:rFonts w:ascii="Kalpurush" w:cs="Kalpurush" w:eastAsia="Kalpurush" w:hAnsi="Kalpurush"/>
          <w:sz w:val="20"/>
          <w:szCs w:val="20"/>
        </w:rPr>
        <w:t xml:space="preserve">বরং আমাদের সুনির্দিষ্ট বক্তব্য:</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"২৩৯৮/১৯৫৭ নং registered deed-এ আব্দুল আলী নিজ নামে সংশ্লিষ্ট মৌজায় সম্পত্তি ক্রয় করেন; দলিলভুক্ত জমিও পরবর্তীতে এবং বর্তমান রেকর্ড অনুযায়ী SA ২৩৮-এর অন্তর্ভুক্ত জমির অংশ। ফলে দলিলটি আব্দুল আলীর সমসাময়িক এবং স্বাধীন documentary circumstance হিসেবে তাঁর পরিচয়, ভূমি-সম্পর্ক ও possession narrative-কে corroborate করে।"</w:t>
      </w:r>
    </w:p>
    <w:p>
      <w:r>
        <w:rPr>
          <w:rFonts w:ascii="Kalpurush" w:cs="Kalpurush" w:eastAsia="Kalpurush" w:hAnsi="Kalpurush"/>
        </w:rPr>
        <w:t xml:space="preserve"/>
      </w:r>
    </w:p>
    <w:p>
      <w:pPr>
        <w:pStyle w:val="ListParagraph"/>
        <w:numPr>
          <w:ilvl w:val="0"/>
          <w:numId w:val="1"/>
        </w:numPr>
      </w:pPr>
      <w:r>
        <w:rPr>
          <w:rFonts w:ascii="Kalpurush" w:cs="Kalpurush" w:eastAsia="Kalpurush" w:hAnsi="Kalpurush"/>
          <w:sz w:val="20"/>
          <w:szCs w:val="20"/>
        </w:rPr>
        <w:t xml:space="preserve">এটি SA ২৩৮-এর বিকল্প নয়।</w:t>
      </w:r>
    </w:p>
    <w:p>
      <w:pPr>
        <w:pStyle w:val="ListParagraph"/>
        <w:numPr>
          <w:ilvl w:val="0"/>
          <w:numId w:val="1"/>
        </w:numPr>
      </w:pPr>
      <w:r>
        <w:rPr>
          <w:rFonts w:ascii="Kalpurush" w:cs="Kalpurush" w:eastAsia="Kalpurush" w:hAnsi="Kalpurush"/>
          <w:sz w:val="20"/>
          <w:szCs w:val="20"/>
        </w:rPr>
        <w:t xml:space="preserve">এটি SA ২৩৮-এর </w:t>
      </w:r>
      <w:r>
        <w:rPr>
          <w:rFonts w:ascii="Kalpurush" w:cs="Kalpurush" w:eastAsia="Kalpurush" w:hAnsi="Kalpurush"/>
          <w:b/>
          <w:bCs/>
          <w:sz w:val="20"/>
          <w:szCs w:val="20"/>
        </w:rPr>
        <w:t xml:space="preserve">contemporaneous documentary corroboration</w:t>
      </w:r>
      <w:r>
        <w:rPr>
          <w:rFonts w:ascii="Kalpurush" w:cs="Kalpurush" w:eastAsia="Kalpurush" w:hAnsi="Kalpurush"/>
          <w:sz w:val="20"/>
          <w:szCs w:val="20"/>
        </w:rPr>
        <w:t xml:space="preserve">।</w:t>
      </w:r>
    </w:p>
    <w:p>
      <w:r>
        <w:rPr>
          <w:rFonts w:ascii="Kalpurush" w:cs="Kalpurush" w:eastAsia="Kalpurush" w:hAnsi="Kalpurush"/>
        </w:rPr>
        <w:t xml:space="preserve"/>
      </w:r>
    </w:p>
    <w:p>
      <w:r>
        <w:rPr>
          <w:rFonts w:ascii="Kalpurush" w:cs="Kalpurush" w:eastAsia="Kalpurush" w:hAnsi="Kalpurush"/>
          <w:sz w:val="20"/>
          <w:szCs w:val="20"/>
        </w:rPr>
        <w:t xml:space="preserve">এখানে ১৯৫৭ সালের দলিলের সবচেয়ে শক্তিশালী ব্যবহার হলো:</w:t>
      </w:r>
    </w:p>
    <w:p>
      <w:pPr>
        <w:ind w:left="720"/>
      </w:pPr>
      <w:r>
        <w:rPr>
          <w:rFonts w:ascii="Kalpurush" w:cs="Kalpurush" w:eastAsia="Kalpurush" w:hAnsi="Kalpurush"/>
          <w:i/>
          <w:iCs/>
          <w:sz w:val="20"/>
          <w:szCs w:val="20"/>
        </w:rPr>
        <w:t xml:space="preserve">*"Why does a registered transaction during the same historical period identify Abdul Ali with land falling within the same SA holding structure?"*</w:t>
      </w:r>
    </w:p>
    <w:p>
      <w:r>
        <w:rPr>
          <w:rFonts w:ascii="Kalpurush" w:cs="Kalpurush" w:eastAsia="Kalpurush" w:hAnsi="Kalpurush"/>
        </w:rPr>
        <w:t xml:space="preserve"/>
      </w:r>
    </w:p>
    <w:p>
      <w:r>
        <w:rPr>
          <w:rFonts w:ascii="Kalpurush" w:cs="Kalpurush" w:eastAsia="Kalpurush" w:hAnsi="Kalpurush"/>
          <w:sz w:val="20"/>
          <w:szCs w:val="20"/>
        </w:rPr>
        <w:t xml:space="preserve">অর্থাৎ এটি chronology-based title creation argument নয়; contemporaneous corroboration।</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IV. কথিত Misc Case 1181/1969 — এখানেই প্রতিরক্ষার সবচেয়ে বড় Evidentiary Gap</w:t>
      </w:r>
    </w:p>
    <w:p>
      <w:r>
        <w:rPr>
          <w:rFonts w:ascii="Kalpurush" w:cs="Kalpurush" w:eastAsia="Kalpurush" w:hAnsi="Kalpurush"/>
        </w:rPr>
        <w:t xml:space="preserve"/>
      </w:r>
    </w:p>
    <w:p>
      <w:r>
        <w:rPr>
          <w:rFonts w:ascii="Kalpurush" w:cs="Kalpurush" w:eastAsia="Kalpurush" w:hAnsi="Kalpurush"/>
          <w:sz w:val="20"/>
          <w:szCs w:val="20"/>
        </w:rPr>
        <w:t xml:space="preserve">বিবাদীপক্ষের বর্তমান অবস্থান অনুযায়ী ১৯৬৯ সালের Misc Case-ই allegedly SA position পরিবর্তনের legal source।</w:t>
      </w:r>
    </w:p>
    <w:p>
      <w:r>
        <w:rPr>
          <w:rFonts w:ascii="Kalpurush" w:cs="Kalpurush" w:eastAsia="Kalpurush" w:hAnsi="Kalpurush"/>
        </w:rPr>
        <w:t xml:space="preserve"/>
      </w:r>
    </w:p>
    <w:p>
      <w:r>
        <w:rPr>
          <w:rFonts w:ascii="Kalpurush" w:cs="Kalpurush" w:eastAsia="Kalpurush" w:hAnsi="Kalpurush"/>
          <w:sz w:val="20"/>
          <w:szCs w:val="20"/>
        </w:rPr>
        <w:t xml:space="preserve">তাহলে প্রথম ও প্রধান প্রশ্ন: </w:t>
      </w:r>
      <w:r>
        <w:rPr>
          <w:rFonts w:ascii="Kalpurush" w:cs="Kalpurush" w:eastAsia="Kalpurush" w:hAnsi="Kalpurush"/>
          <w:b/>
          <w:bCs/>
          <w:sz w:val="20"/>
          <w:szCs w:val="20"/>
        </w:rPr>
        <w:t xml:space="preserve">That order itself কোথায়?</w:t>
      </w:r>
    </w:p>
    <w:p>
      <w:r>
        <w:rPr>
          <w:rFonts w:ascii="Kalpurush" w:cs="Kalpurush" w:eastAsia="Kalpurush" w:hAnsi="Kalpurush"/>
        </w:rPr>
        <w:t xml:space="preserve"/>
      </w:r>
    </w:p>
    <w:p>
      <w:r>
        <w:rPr>
          <w:rFonts w:ascii="Kalpurush" w:cs="Kalpurush" w:eastAsia="Kalpurush" w:hAnsi="Kalpurush"/>
          <w:sz w:val="20"/>
          <w:szCs w:val="20"/>
        </w:rPr>
        <w:t xml:space="preserve">বিবাদীপক্ষ আদালতে উপস্থাপন করতে পারেনি—</w:t>
      </w:r>
    </w:p>
    <w:p>
      <w:pPr>
        <w:pStyle w:val="ListParagraph"/>
        <w:numPr>
          <w:ilvl w:val="0"/>
          <w:numId w:val="1"/>
        </w:numPr>
      </w:pPr>
      <w:r>
        <w:rPr>
          <w:rFonts w:ascii="Kalpurush" w:cs="Kalpurush" w:eastAsia="Kalpurush" w:hAnsi="Kalpurush"/>
          <w:sz w:val="20"/>
          <w:szCs w:val="20"/>
        </w:rPr>
        <w:t xml:space="preserve">Application;</w:t>
      </w:r>
    </w:p>
    <w:p>
      <w:pPr>
        <w:pStyle w:val="ListParagraph"/>
        <w:numPr>
          <w:ilvl w:val="0"/>
          <w:numId w:val="1"/>
        </w:numPr>
      </w:pPr>
      <w:r>
        <w:rPr>
          <w:rFonts w:ascii="Kalpurush" w:cs="Kalpurush" w:eastAsia="Kalpurush" w:hAnsi="Kalpurush"/>
          <w:sz w:val="20"/>
          <w:szCs w:val="20"/>
        </w:rPr>
        <w:t xml:space="preserve">Order sheet;</w:t>
      </w:r>
    </w:p>
    <w:p>
      <w:pPr>
        <w:pStyle w:val="ListParagraph"/>
        <w:numPr>
          <w:ilvl w:val="0"/>
          <w:numId w:val="1"/>
        </w:numPr>
      </w:pPr>
      <w:r>
        <w:rPr>
          <w:rFonts w:ascii="Kalpurush" w:cs="Kalpurush" w:eastAsia="Kalpurush" w:hAnsi="Kalpurush"/>
          <w:sz w:val="20"/>
          <w:szCs w:val="20"/>
        </w:rPr>
        <w:t xml:space="preserve">Judgment;</w:t>
      </w:r>
    </w:p>
    <w:p>
      <w:pPr>
        <w:pStyle w:val="ListParagraph"/>
        <w:numPr>
          <w:ilvl w:val="0"/>
          <w:numId w:val="1"/>
        </w:numPr>
      </w:pPr>
      <w:r>
        <w:rPr>
          <w:rFonts w:ascii="Kalpurush" w:cs="Kalpurush" w:eastAsia="Kalpurush" w:hAnsi="Kalpurush"/>
          <w:sz w:val="20"/>
          <w:szCs w:val="20"/>
        </w:rPr>
        <w:t xml:space="preserve">Final order;</w:t>
      </w:r>
    </w:p>
    <w:p>
      <w:pPr>
        <w:pStyle w:val="ListParagraph"/>
        <w:numPr>
          <w:ilvl w:val="0"/>
          <w:numId w:val="1"/>
        </w:numPr>
      </w:pPr>
      <w:r>
        <w:rPr>
          <w:rFonts w:ascii="Kalpurush" w:cs="Kalpurush" w:eastAsia="Kalpurush" w:hAnsi="Kalpurush"/>
          <w:sz w:val="20"/>
          <w:szCs w:val="20"/>
        </w:rPr>
        <w:t xml:space="preserve">Certified copy;</w:t>
      </w:r>
    </w:p>
    <w:p>
      <w:pPr>
        <w:pStyle w:val="ListParagraph"/>
        <w:numPr>
          <w:ilvl w:val="0"/>
          <w:numId w:val="1"/>
        </w:numPr>
      </w:pPr>
      <w:r>
        <w:rPr>
          <w:rFonts w:ascii="Kalpurush" w:cs="Kalpurush" w:eastAsia="Kalpurush" w:hAnsi="Kalpurush"/>
          <w:sz w:val="20"/>
          <w:szCs w:val="20"/>
        </w:rPr>
        <w:t xml:space="preserve">অথবা এমন কোনো primary record যার মাধ্যমে proceeding-এর প্রকৃতি, এখতিয়ার ও legal effect বোঝা যায়।</w:t>
      </w:r>
    </w:p>
    <w:p>
      <w:r>
        <w:rPr>
          <w:rFonts w:ascii="Kalpurush" w:cs="Kalpurush" w:eastAsia="Kalpurush" w:hAnsi="Kalpurush"/>
        </w:rPr>
        <w:t xml:space="preserve"/>
      </w:r>
    </w:p>
    <w:p>
      <w:r>
        <w:rPr>
          <w:rFonts w:ascii="Kalpurush" w:cs="Kalpurush" w:eastAsia="Kalpurush" w:hAnsi="Kalpurush"/>
          <w:sz w:val="20"/>
          <w:szCs w:val="20"/>
        </w:rPr>
        <w:t xml:space="preserve">আরও গুরুত্বপূর্ণ: </w:t>
      </w:r>
      <w:r>
        <w:rPr>
          <w:rFonts w:ascii="Kalpurush" w:cs="Kalpurush" w:eastAsia="Kalpurush" w:hAnsi="Kalpurush"/>
          <w:b/>
          <w:bCs/>
          <w:sz w:val="20"/>
          <w:szCs w:val="20"/>
        </w:rPr>
        <w:t xml:space="preserve">বিবাদীপক্ষ আদালত মারফত উক্ত মূল রেকর্ড তলবও করেনি।</w:t>
      </w:r>
    </w:p>
    <w:p>
      <w:r>
        <w:rPr>
          <w:rFonts w:ascii="Kalpurush" w:cs="Kalpurush" w:eastAsia="Kalpurush" w:hAnsi="Kalpurush"/>
        </w:rPr>
        <w:t xml:space="preserve"/>
      </w:r>
    </w:p>
    <w:p>
      <w:r>
        <w:rPr>
          <w:rFonts w:ascii="Kalpurush" w:cs="Kalpurush" w:eastAsia="Kalpurush" w:hAnsi="Kalpurush"/>
          <w:sz w:val="20"/>
          <w:szCs w:val="20"/>
        </w:rPr>
        <w:t xml:space="preserve">এখানে আদালতকে কোনো অনুমান করতে বলা হচ্ছে না। বরং আমাদের বক্তব্য:</w:t>
      </w:r>
    </w:p>
    <w:p>
      <w:pPr>
        <w:ind w:left="720"/>
      </w:pPr>
      <w:r>
        <w:rPr>
          <w:rFonts w:ascii="Kalpurush" w:cs="Kalpurush" w:eastAsia="Kalpurush" w:hAnsi="Kalpurush"/>
          <w:b/>
          <w:bCs/>
          <w:i/>
          <w:iCs/>
          <w:sz w:val="20"/>
          <w:szCs w:val="20"/>
        </w:rPr>
        <w:t xml:space="preserve">"যে party কোনো particular judicial proceeding-এর উপর substantive title claim প্রতিষ্ঠা করছে, সেই proceeding-এর existence, contents, jurisdiction এবং legal effect প্রথমে establish করুক। একটি consequential AC Land entry সেই missing foundation-এর substitute হতে পারে 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৪.১ Evidentiary Logic (সাক্ষ্যগত যুক্তির ভিত্তি):</w:t>
      </w:r>
    </w:p>
    <w:p>
      <w:r>
        <w:rPr>
          <w:rFonts w:ascii="Kalpurush" w:cs="Kalpurush" w:eastAsia="Kalpurush" w:hAnsi="Kalpurush"/>
          <w:sz w:val="20"/>
          <w:szCs w:val="20"/>
        </w:rPr>
        <w:t xml:space="preserve">মহামান্য আদালত,</w:t>
      </w:r>
    </w:p>
    <w:p>
      <w:pPr>
        <w:ind w:left="720"/>
      </w:pPr>
      <w:r>
        <w:rPr>
          <w:rFonts w:ascii="Kalpurush" w:cs="Kalpurush" w:eastAsia="Kalpurush" w:hAnsi="Kalpurush"/>
          <w:i/>
          <w:iCs/>
          <w:sz w:val="20"/>
          <w:szCs w:val="20"/>
        </w:rPr>
        <w:t xml:space="preserve">*"We are not asking the Court to assume that the volume entry is false. We are asking a simpler question: what is the legal source of that entry? If the alleged parent order is not proved, the consequential entry cannot, by itself, prove the substantive right supposedly created by that order."*</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V. Misc Case-এর উপর Trial Court-এর Reliance — প্রকৃত Error কোথায়</w:t>
      </w:r>
    </w:p>
    <w:p>
      <w:r>
        <w:rPr>
          <w:rFonts w:ascii="Kalpurush" w:cs="Kalpurush" w:eastAsia="Kalpurush" w:hAnsi="Kalpurush"/>
        </w:rPr>
        <w:t xml:space="preserve"/>
      </w:r>
    </w:p>
    <w:p>
      <w:r>
        <w:rPr>
          <w:rFonts w:ascii="Kalpurush" w:cs="Kalpurush" w:eastAsia="Kalpurush" w:hAnsi="Kalpurush"/>
          <w:sz w:val="20"/>
          <w:szCs w:val="20"/>
        </w:rPr>
        <w:t xml:space="preserve">শুধু এই কথা বললে যে "Misc Case-এ decree হয় না", যুক্তিটি অপ্রয়োজনীয় টেকনিক্যাল হয়ে যেতে পারে।</w:t>
      </w:r>
    </w:p>
    <w:p>
      <w:r>
        <w:rPr>
          <w:rFonts w:ascii="Kalpurush" w:cs="Kalpurush" w:eastAsia="Kalpurush" w:hAnsi="Kalpurush"/>
        </w:rPr>
        <w:t xml:space="preserve"/>
      </w:r>
    </w:p>
    <w:p>
      <w:r>
        <w:rPr>
          <w:rFonts w:ascii="Kalpurush" w:cs="Kalpurush" w:eastAsia="Kalpurush" w:hAnsi="Kalpurush"/>
          <w:sz w:val="20"/>
          <w:szCs w:val="20"/>
        </w:rPr>
        <w:t xml:space="preserve">আপীল আদালতের সামনে প্রকৃত বিচারিক প্রশ্ন হলো: </w:t>
      </w:r>
      <w:r>
        <w:rPr>
          <w:rFonts w:ascii="Kalpurush" w:cs="Kalpurush" w:eastAsia="Kalpurush" w:hAnsi="Kalpurush"/>
          <w:b/>
          <w:bCs/>
          <w:sz w:val="20"/>
          <w:szCs w:val="20"/>
        </w:rPr>
        <w:t xml:space="preserve">বিজ্ঞ ট্রায়াল কোর্ট কি পরীক্ষা করিয়া দেখিয়াছিলেন—</w:t>
      </w:r>
    </w:p>
    <w:p>
      <w:r>
        <w:rPr>
          <w:rFonts w:ascii="Kalpurush" w:cs="Kalpurush" w:eastAsia="Kalpurush" w:hAnsi="Kalpurush"/>
          <w:sz w:val="20"/>
          <w:szCs w:val="20"/>
        </w:rPr>
        <w:t xml:space="preserve">১. Proceeding-এর nature কী ছিল?</w:t>
      </w:r>
    </w:p>
    <w:p>
      <w:r>
        <w:rPr>
          <w:rFonts w:ascii="Kalpurush" w:cs="Kalpurush" w:eastAsia="Kalpurush" w:hAnsi="Kalpurush"/>
          <w:sz w:val="20"/>
          <w:szCs w:val="20"/>
        </w:rPr>
        <w:t xml:space="preserve">২. কোন court বা কর্তৃপক্ষ proceeding পরিচালনা করিয়াছিল?</w:t>
      </w:r>
    </w:p>
    <w:p>
      <w:r>
        <w:rPr>
          <w:rFonts w:ascii="Kalpurush" w:cs="Kalpurush" w:eastAsia="Kalpurush" w:hAnsi="Kalpurush"/>
          <w:sz w:val="20"/>
          <w:szCs w:val="20"/>
        </w:rPr>
        <w:t xml:space="preserve">৩. সেই court বা কর্তৃপক্ষের jurisdiction কী ছিল?</w:t>
      </w:r>
    </w:p>
    <w:p>
      <w:r>
        <w:rPr>
          <w:rFonts w:ascii="Kalpurush" w:cs="Kalpurush" w:eastAsia="Kalpurush" w:hAnsi="Kalpurush"/>
          <w:sz w:val="20"/>
          <w:szCs w:val="20"/>
        </w:rPr>
        <w:t xml:space="preserve">৪. কোন order পাস হইয়াছিল?</w:t>
      </w:r>
    </w:p>
    <w:p>
      <w:r>
        <w:rPr>
          <w:rFonts w:ascii="Kalpurush" w:cs="Kalpurush" w:eastAsia="Kalpurush" w:hAnsi="Kalpurush"/>
          <w:sz w:val="20"/>
          <w:szCs w:val="20"/>
        </w:rPr>
        <w:t xml:space="preserve">৫. সেই order-এর exact terms কী ছিল?</w:t>
      </w:r>
    </w:p>
    <w:p>
      <w:r>
        <w:rPr>
          <w:rFonts w:ascii="Kalpurush" w:cs="Kalpurush" w:eastAsia="Kalpurush" w:hAnsi="Kalpurush"/>
          <w:sz w:val="20"/>
          <w:szCs w:val="20"/>
        </w:rPr>
        <w:t xml:space="preserve">৬. SA Record পরিবর্তনের কোনো সুনির্দিষ্ট নির্দেশ ছিল কি না?</w:t>
      </w:r>
    </w:p>
    <w:p>
      <w:r>
        <w:rPr>
          <w:rFonts w:ascii="Kalpurush" w:cs="Kalpurush" w:eastAsia="Kalpurush" w:hAnsi="Kalpurush"/>
          <w:sz w:val="20"/>
          <w:szCs w:val="20"/>
        </w:rPr>
        <w:t xml:space="preserve">৭. সেই নির্দেশ বাস্তবায়নের কোনো official trail বা Register of Alterations-এ এন্ট্রি আছে কি না?</w:t>
      </w:r>
    </w:p>
    <w:p>
      <w:r>
        <w:rPr>
          <w:rFonts w:ascii="Kalpurush" w:cs="Kalpurush" w:eastAsia="Kalpurush" w:hAnsi="Kalpurush"/>
        </w:rPr>
        <w:t xml:space="preserve"/>
      </w:r>
    </w:p>
    <w:p>
      <w:r>
        <w:rPr>
          <w:rFonts w:ascii="Kalpurush" w:cs="Kalpurush" w:eastAsia="Kalpurush" w:hAnsi="Kalpurush"/>
          <w:sz w:val="20"/>
          <w:szCs w:val="20"/>
        </w:rPr>
        <w:t xml:space="preserve">যখন এর কোনো উপাদানই রেকর্ডে নেই, তখন ট্রায়াল কোর্ট কীভাবে ধরে নিলেন যে ১৯৬৯ সালের কার্যক্রমের আইনি ফলাফল ছিল আব্দুল আলীর ১৬ আনা রেকর্ডকৃত স্বত্ব কর্তন করিয়া সোনাভানুকে substantive interest প্রদান করা?</w:t>
      </w:r>
    </w:p>
    <w:p>
      <w:r>
        <w:rPr>
          <w:rFonts w:ascii="Kalpurush" w:cs="Kalpurush" w:eastAsia="Kalpurush" w:hAnsi="Kalpurush"/>
        </w:rPr>
        <w:t xml:space="preserve"/>
      </w:r>
    </w:p>
    <w:p>
      <w:r>
        <w:rPr>
          <w:rFonts w:ascii="Kalpurush" w:cs="Kalpurush" w:eastAsia="Kalpurush" w:hAnsi="Kalpurush"/>
          <w:b/>
          <w:bCs/>
          <w:sz w:val="20"/>
          <w:szCs w:val="20"/>
        </w:rPr>
        <w:t xml:space="preserve">এটাই ট্রায়াল কোর্টের রায়ের আসল কাঠামোগত দুর্বলতা।</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Malay Miah vs. Maharam Ali, 27 BLD (HD) 544:</w:t>
      </w:r>
    </w:p>
    <w:p>
      <w:pPr>
        <w:ind w:left="720"/>
      </w:pPr>
      <w:r>
        <w:rPr>
          <w:rFonts w:ascii="Kalpurush" w:cs="Kalpurush" w:eastAsia="Kalpurush" w:hAnsi="Kalpurush"/>
          <w:i/>
          <w:iCs/>
          <w:sz w:val="20"/>
          <w:szCs w:val="20"/>
        </w:rPr>
        <w:t xml:space="preserve">Miscellaneous proceeding-এর মাধ্যমে substantive title adjudication-এর সীমাবদ্ধতা সম্পর্কিত নীতি।</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Mainuddin Ahammed vs. Bangladesh, 7 SCOB [2016] HCD 135:</w:t>
      </w:r>
    </w:p>
    <w:p>
      <w:pPr>
        <w:ind w:left="720"/>
      </w:pPr>
      <w:r>
        <w:rPr>
          <w:rFonts w:ascii="Kalpurush" w:cs="Kalpurush" w:eastAsia="Kalpurush" w:hAnsi="Kalpurush"/>
          <w:i/>
          <w:iCs/>
          <w:sz w:val="20"/>
          <w:szCs w:val="20"/>
        </w:rPr>
        <w:t xml:space="preserve">Notice ও hearing ছাড়া সংগৃহীত SA খতিয়ান পরিবর্তন আইনগতভাবে অকার্যকর।</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VI. AC Land Volume বনাম District Record Room — Record Hierarchy</w:t>
      </w:r>
    </w:p>
    <w:p>
      <w:r>
        <w:rPr>
          <w:rFonts w:ascii="Kalpurush" w:cs="Kalpurush" w:eastAsia="Kalpurush" w:hAnsi="Kalpurush"/>
        </w:rPr>
        <w:t xml:space="preserve"/>
      </w:r>
    </w:p>
    <w:p>
      <w:r>
        <w:rPr>
          <w:rFonts w:ascii="Kalpurush" w:cs="Kalpurush" w:eastAsia="Kalpurush" w:hAnsi="Kalpurush"/>
          <w:sz w:val="20"/>
          <w:szCs w:val="20"/>
        </w:rPr>
        <w:t xml:space="preserve">এখানে সতর্ক ও সুনির্দিষ্ট আইনি অবস্থান: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"The legal effect of the AC Land volume entry must be established from its source and statutory authority; it cannot simply be presumed to override the finally published SA record preserved in the Settlement Record Room."</w:t>
      </w:r>
    </w:p>
    <w:p>
      <w:r>
        <w:rPr>
          <w:rFonts w:ascii="Kalpurush" w:cs="Kalpurush" w:eastAsia="Kalpurush" w:hAnsi="Kalpurush"/>
        </w:rPr>
        <w:t xml:space="preserve"/>
      </w:r>
    </w:p>
    <w:p>
      <w:r>
        <w:rPr>
          <w:rFonts w:ascii="Kalpurush" w:cs="Kalpurush" w:eastAsia="Kalpurush" w:hAnsi="Kalpurush"/>
          <w:sz w:val="20"/>
          <w:szCs w:val="20"/>
        </w:rPr>
        <w:t xml:space="preserve">কারণ আদালতকে আগে দেখতে হবে এই এন্ট্রিটির প্রকৃত স্বরূপ কী:</w:t>
      </w:r>
    </w:p>
    <w:p>
      <w:pPr>
        <w:pStyle w:val="ListParagraph"/>
        <w:numPr>
          <w:ilvl w:val="0"/>
          <w:numId w:val="1"/>
        </w:numPr>
      </w:pPr>
      <w:r>
        <w:rPr>
          <w:rFonts w:ascii="Kalpurush" w:cs="Kalpurush" w:eastAsia="Kalpurush" w:hAnsi="Kalpurush"/>
          <w:sz w:val="20"/>
          <w:szCs w:val="20"/>
        </w:rPr>
        <w:t xml:space="preserve">Mutation?</w:t>
      </w:r>
    </w:p>
    <w:p>
      <w:pPr>
        <w:pStyle w:val="ListParagraph"/>
        <w:numPr>
          <w:ilvl w:val="0"/>
          <w:numId w:val="1"/>
        </w:numPr>
      </w:pPr>
      <w:r>
        <w:rPr>
          <w:rFonts w:ascii="Kalpurush" w:cs="Kalpurush" w:eastAsia="Kalpurush" w:hAnsi="Kalpurush"/>
          <w:sz w:val="20"/>
          <w:szCs w:val="20"/>
        </w:rPr>
        <w:t xml:space="preserve">Correction?</w:t>
      </w:r>
    </w:p>
    <w:p>
      <w:pPr>
        <w:pStyle w:val="ListParagraph"/>
        <w:numPr>
          <w:ilvl w:val="0"/>
          <w:numId w:val="1"/>
        </w:numPr>
      </w:pPr>
      <w:r>
        <w:rPr>
          <w:rFonts w:ascii="Kalpurush" w:cs="Kalpurush" w:eastAsia="Kalpurush" w:hAnsi="Kalpurush"/>
          <w:sz w:val="20"/>
          <w:szCs w:val="20"/>
        </w:rPr>
        <w:t xml:space="preserve">Clerical alteration?</w:t>
      </w:r>
    </w:p>
    <w:p>
      <w:pPr>
        <w:pStyle w:val="ListParagraph"/>
        <w:numPr>
          <w:ilvl w:val="0"/>
          <w:numId w:val="1"/>
        </w:numPr>
      </w:pPr>
      <w:r>
        <w:rPr>
          <w:rFonts w:ascii="Kalpurush" w:cs="Kalpurush" w:eastAsia="Kalpurush" w:hAnsi="Kalpurush"/>
          <w:sz w:val="20"/>
          <w:szCs w:val="20"/>
        </w:rPr>
        <w:t xml:space="preserve">Court order implementation?</w:t>
      </w:r>
    </w:p>
    <w:p>
      <w:pPr>
        <w:pStyle w:val="ListParagraph"/>
        <w:numPr>
          <w:ilvl w:val="0"/>
          <w:numId w:val="1"/>
        </w:numPr>
      </w:pPr>
      <w:r>
        <w:rPr>
          <w:rFonts w:ascii="Kalpurush" w:cs="Kalpurush" w:eastAsia="Kalpurush" w:hAnsi="Kalpurush"/>
          <w:sz w:val="20"/>
          <w:szCs w:val="20"/>
        </w:rPr>
        <w:t xml:space="preserve">Revenue proceeding?</w:t>
      </w:r>
    </w:p>
    <w:p>
      <w:pPr>
        <w:pStyle w:val="ListParagraph"/>
        <w:numPr>
          <w:ilvl w:val="0"/>
          <w:numId w:val="1"/>
        </w:numPr>
      </w:pPr>
      <w:r>
        <w:rPr>
          <w:rFonts w:ascii="Kalpurush" w:cs="Kalpurush" w:eastAsia="Kalpurush" w:hAnsi="Kalpurush"/>
          <w:sz w:val="20"/>
          <w:szCs w:val="20"/>
        </w:rPr>
        <w:t xml:space="preserve">নাকি কেবল একটি ব্যাখ্যাহীন administrative note?</w:t>
      </w:r>
    </w:p>
    <w:p>
      <w:r>
        <w:rPr>
          <w:rFonts w:ascii="Kalpurush" w:cs="Kalpurush" w:eastAsia="Kalpurush" w:hAnsi="Kalpurush"/>
        </w:rPr>
        <w:t xml:space="preserve"/>
      </w:r>
    </w:p>
    <w:p>
      <w:r>
        <w:rPr>
          <w:rFonts w:ascii="Kalpurush" w:cs="Kalpurush" w:eastAsia="Kalpurush" w:hAnsi="Kalpurush"/>
          <w:sz w:val="20"/>
          <w:szCs w:val="20"/>
        </w:rPr>
        <w:t xml:space="preserve">যে entry-এর nature-ই দালিলিকভাবে নিশ্চিত নয়, সেটিকে substantive title displacement-এর foundation বানানো যায় না।</w:t>
      </w:r>
    </w:p>
    <w:p>
      <w:r>
        <w:rPr>
          <w:rFonts w:ascii="Kalpurush" w:cs="Kalpurush" w:eastAsia="Kalpurush" w:hAnsi="Kalpurush"/>
        </w:rPr>
        <w:t xml:space="preserve"/>
      </w:r>
    </w:p>
    <w:p>
      <w:pPr>
        <w:pStyle w:val="Heading3"/>
      </w:pPr>
      <w:r>
        <w:rPr>
          <w:rFonts w:ascii="Kalpurush" w:cs="Kalpurush" w:eastAsia="Kalpurush" w:hAnsi="Kalpurush"/>
          <w:sz w:val="20"/>
          <w:szCs w:val="20"/>
        </w:rPr>
        <w:t xml:space="preserve">DW-4-এর সাক্ষ্যের গুরুত্ব:</w:t>
      </w:r>
    </w:p>
    <w:p>
      <w:r>
        <w:rPr>
          <w:rFonts w:ascii="Kalpurush" w:cs="Kalpurush" w:eastAsia="Kalpurush" w:hAnsi="Kalpurush"/>
          <w:sz w:val="20"/>
          <w:szCs w:val="20"/>
        </w:rPr>
        <w:t xml:space="preserve">বিবাদীদের সাক্ষী DW-4 আদালতে—</w:t>
      </w:r>
    </w:p>
    <w:p>
      <w:pPr>
        <w:pStyle w:val="ListParagraph"/>
        <w:numPr>
          <w:ilvl w:val="0"/>
          <w:numId w:val="1"/>
        </w:numPr>
      </w:pPr>
      <w:r>
        <w:rPr>
          <w:rFonts w:ascii="Kalpurush" w:cs="Kalpurush" w:eastAsia="Kalpurush" w:hAnsi="Kalpurush"/>
          <w:sz w:val="20"/>
          <w:szCs w:val="20"/>
        </w:rPr>
        <w:t xml:space="preserve">এন্ট্রির মূল উৎস ব্যাখ্যা করতে পারেননি;</w:t>
      </w:r>
    </w:p>
    <w:p>
      <w:pPr>
        <w:pStyle w:val="ListParagraph"/>
        <w:numPr>
          <w:ilvl w:val="0"/>
          <w:numId w:val="1"/>
        </w:numPr>
      </w:pPr>
      <w:r>
        <w:rPr>
          <w:rFonts w:ascii="Kalpurush" w:cs="Kalpurush" w:eastAsia="Kalpurush" w:hAnsi="Kalpurush"/>
          <w:sz w:val="20"/>
          <w:szCs w:val="20"/>
        </w:rPr>
        <w:t xml:space="preserve">কোনো underlying file বা নথি প্রদর্শন করতে পারেননি;</w:t>
      </w:r>
    </w:p>
    <w:p>
      <w:pPr>
        <w:pStyle w:val="ListParagraph"/>
        <w:numPr>
          <w:ilvl w:val="0"/>
          <w:numId w:val="1"/>
        </w:numPr>
      </w:pPr>
      <w:r>
        <w:rPr>
          <w:rFonts w:ascii="Kalpurush" w:cs="Kalpurush" w:eastAsia="Kalpurush" w:hAnsi="Kalpurush"/>
          <w:sz w:val="20"/>
          <w:szCs w:val="20"/>
        </w:rPr>
        <w:t xml:space="preserve">মূল Parent Order দাখিল করতে পারেননি;</w:t>
      </w:r>
    </w:p>
    <w:p>
      <w:pPr>
        <w:pStyle w:val="ListParagraph"/>
        <w:numPr>
          <w:ilvl w:val="0"/>
          <w:numId w:val="1"/>
        </w:numPr>
      </w:pPr>
      <w:r>
        <w:rPr>
          <w:rFonts w:ascii="Kalpurush" w:cs="Kalpurush" w:eastAsia="Kalpurush" w:hAnsi="Kalpurush"/>
          <w:sz w:val="20"/>
          <w:szCs w:val="20"/>
        </w:rPr>
        <w:t xml:space="preserve">এবং এন্ট্রিটি ভিন্ন কালিতে থাকার বিষয়টি স্বীকার করিয়াছেন।</w:t>
      </w:r>
    </w:p>
    <w:p>
      <w:r>
        <w:rPr>
          <w:rFonts w:ascii="Kalpurush" w:cs="Kalpurush" w:eastAsia="Kalpurush" w:hAnsi="Kalpurush"/>
        </w:rPr>
        <w:t xml:space="preserve"/>
      </w:r>
    </w:p>
    <w:p>
      <w:r>
        <w:rPr>
          <w:rFonts w:ascii="Kalpurush" w:cs="Kalpurush" w:eastAsia="Kalpurush" w:hAnsi="Kalpurush"/>
          <w:sz w:val="20"/>
          <w:szCs w:val="20"/>
        </w:rPr>
        <w:t xml:space="preserve">সুতরাং স্থানীয় volume entry-র probative weight মারাত্মকভাবে প্রশ্নবিদ্ধ।</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Shahera Khatun vs. State, 53 DLR 19:</w:t>
      </w:r>
    </w:p>
    <w:p>
      <w:pPr>
        <w:ind w:left="720"/>
      </w:pPr>
      <w:r>
        <w:rPr>
          <w:rFonts w:ascii="Kalpurush" w:cs="Kalpurush" w:eastAsia="Kalpurush" w:hAnsi="Kalpurush"/>
          <w:i/>
          <w:iCs/>
          <w:sz w:val="20"/>
          <w:szCs w:val="20"/>
        </w:rPr>
        <w:t xml:space="preserve">Mutation khatian বা volume entry-এর স্বতন্ত্র presumptive value না থাকার নীতি।</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Fazlur Rahman vs. Bangladesh, 1 BLT (HD) 18:</w:t>
      </w:r>
    </w:p>
    <w:p>
      <w:pPr>
        <w:ind w:left="720"/>
      </w:pPr>
      <w:r>
        <w:rPr>
          <w:rFonts w:ascii="Kalpurush" w:cs="Kalpurush" w:eastAsia="Kalpurush" w:hAnsi="Kalpurush"/>
          <w:i/>
          <w:iCs/>
          <w:sz w:val="20"/>
          <w:szCs w:val="20"/>
        </w:rPr>
        <w:t xml:space="preserve">Parent judicial order sheet ছাড়া ভিন্ন কালিতে লেখা ভলিউম এন্ট্রি কার্যকারিতাহীন।</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Mrigangka Mohan Dhali vs. Chitta Ranjan Mondol, 18 SCOB [2023] AD 20 (পাঁচ বিচারপতির আপীল বিভাগীয় বেঞ্চ):</w:t>
      </w:r>
    </w:p>
    <w:p>
      <w:pPr>
        <w:ind w:left="720"/>
      </w:pPr>
      <w:r>
        <w:rPr>
          <w:rFonts w:ascii="Kalpurush" w:cs="Kalpurush" w:eastAsia="Kalpurush" w:hAnsi="Kalpurush"/>
          <w:i/>
          <w:iCs/>
          <w:sz w:val="20"/>
          <w:szCs w:val="20"/>
        </w:rPr>
        <w:t xml:space="preserve">প্রশাসনিক রেকর্ড এন্ট্রি প্রতিষ্ঠিত স্বত্বকে override করতে পারে 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VII. Record Room-এর নীরবতা — স্বাধীন Corroborative Circumstance</w:t>
      </w:r>
    </w:p>
    <w:p>
      <w:r>
        <w:rPr>
          <w:rFonts w:ascii="Kalpurush" w:cs="Kalpurush" w:eastAsia="Kalpurush" w:hAnsi="Kalpurush"/>
        </w:rPr>
        <w:t xml:space="preserve"/>
      </w:r>
    </w:p>
    <w:p>
      <w:r>
        <w:rPr>
          <w:rFonts w:ascii="Kalpurush" w:cs="Kalpurush" w:eastAsia="Kalpurush" w:hAnsi="Kalpurush"/>
          <w:sz w:val="20"/>
          <w:szCs w:val="20"/>
        </w:rPr>
        <w:t xml:space="preserve">যদি ১৯৬৯ সালের correction সত্যিই substantive এবং legally operative হয়ে থাকে, তাহলে অর্ধশতাব্দী পরে authoritative settlement record-এ তার প্রতিফলন কোথায়?</w:t>
      </w:r>
    </w:p>
    <w:p>
      <w:r>
        <w:rPr>
          <w:rFonts w:ascii="Kalpurush" w:cs="Kalpurush" w:eastAsia="Kalpurush" w:hAnsi="Kalpurush"/>
        </w:rPr>
        <w:t xml:space="preserve"/>
      </w:r>
    </w:p>
    <w:p>
      <w:r>
        <w:rPr>
          <w:rFonts w:ascii="Kalpurush" w:cs="Kalpurush" w:eastAsia="Kalpurush" w:hAnsi="Kalpurush"/>
          <w:sz w:val="20"/>
          <w:szCs w:val="20"/>
        </w:rPr>
        <w:t xml:space="preserve">বিশেষ করে যদি একজনের ১৬ আনা recorded interest পরিবর্তিত হয়ে অন্য ব্যক্তির substantive interest সৃষ্টি হয়ে থাকে, তাহলে সেই পরিবর্তনের প্রাতিষ্ঠানিক প্রমাণ থাকা স্বাভাবিক প্রত্যাশা।</w:t>
      </w:r>
    </w:p>
    <w:p>
      <w:r>
        <w:rPr>
          <w:rFonts w:ascii="Kalpurush" w:cs="Kalpurush" w:eastAsia="Kalpurush" w:hAnsi="Kalpurush"/>
        </w:rPr>
        <w:t xml:space="preserve"/>
      </w:r>
    </w:p>
    <w:p>
      <w:r>
        <w:rPr>
          <w:rFonts w:ascii="Kalpurush" w:cs="Kalpurush" w:eastAsia="Kalpurush" w:hAnsi="Kalpurush"/>
          <w:sz w:val="20"/>
          <w:szCs w:val="20"/>
        </w:rPr>
        <w:t xml:space="preserve">এখানে তিনটি মৌলিক প্রশ্ন:</w:t>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Original SA 238 আজও District Record Room-এ Abdul Ali-এর নামে কেন?</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সংশোধিত SA copy কোথায়?</w:t>
      </w:r>
    </w:p>
    <w:p>
      <w:r>
        <w:rPr>
          <w:rFonts w:ascii="Kalpurush" w:cs="Kalpurush" w:eastAsia="Kalpurush" w:hAnsi="Kalpurush"/>
          <w:sz w:val="20"/>
          <w:szCs w:val="20"/>
        </w:rPr>
        <w:t xml:space="preserve">৩. </w:t>
      </w:r>
      <w:r>
        <w:rPr>
          <w:rFonts w:ascii="Kalpurush" w:cs="Kalpurush" w:eastAsia="Kalpurush" w:hAnsi="Kalpurush"/>
          <w:b/>
          <w:bCs/>
          <w:sz w:val="20"/>
          <w:szCs w:val="20"/>
        </w:rPr>
        <w:t xml:space="preserve">Correction-এর official record trail কোথায়?</w:t>
      </w:r>
    </w:p>
    <w:p>
      <w:r>
        <w:rPr>
          <w:rFonts w:ascii="Kalpurush" w:cs="Kalpurush" w:eastAsia="Kalpurush" w:hAnsi="Kalpurush"/>
        </w:rPr>
        <w:t xml:space="preserve"/>
      </w:r>
    </w:p>
    <w:p>
      <w:r>
        <w:rPr>
          <w:rFonts w:ascii="Kalpurush" w:cs="Kalpurush" w:eastAsia="Kalpurush" w:hAnsi="Kalpurush"/>
          <w:sz w:val="20"/>
          <w:szCs w:val="20"/>
        </w:rPr>
        <w:t xml:space="preserve">এটি একা correction "অসম্ভব" প্রমাণ করে না; কিন্তু একটি disputed volume entry-কে সম্পূর্ণ corroboration-বিহীন রেখে দেয়, বিশেষত যখন parent order-ও অনুপস্থিত।</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VIII. ১৯৭৫ সালের রেজিস্ট্রিকৃত দলিল (Deed No. 3596/1975) — প্রতিরক্ষার কেন্দ্রীয় দালিলিক বৈপরীত্য</w:t>
      </w:r>
    </w:p>
    <w:p>
      <w:r>
        <w:rPr>
          <w:rFonts w:ascii="Kalpurush" w:cs="Kalpurush" w:eastAsia="Kalpurush" w:hAnsi="Kalpurush"/>
        </w:rPr>
        <w:t xml:space="preserve"/>
      </w:r>
    </w:p>
    <w:p>
      <w:r>
        <w:rPr>
          <w:rFonts w:ascii="Kalpurush" w:cs="Kalpurush" w:eastAsia="Kalpurush" w:hAnsi="Kalpurush"/>
          <w:sz w:val="20"/>
          <w:szCs w:val="20"/>
        </w:rPr>
        <w:t xml:space="preserve">এটি এই আপীলের সবচেয়ে শক্তিশালী internal documentary contradiction।</w:t>
      </w:r>
    </w:p>
    <w:p>
      <w:r>
        <w:rPr>
          <w:rFonts w:ascii="Kalpurush" w:cs="Kalpurush" w:eastAsia="Kalpurush" w:hAnsi="Kalpurush"/>
        </w:rPr>
        <w:t xml:space="preserve"/>
      </w:r>
    </w:p>
    <w:p>
      <w:r>
        <w:rPr>
          <w:rFonts w:ascii="Kalpurush" w:cs="Kalpurush" w:eastAsia="Kalpurush" w:hAnsi="Kalpurush"/>
          <w:sz w:val="20"/>
          <w:szCs w:val="20"/>
        </w:rPr>
        <w:t xml:space="preserve">বিবাদীপক্ষের তলবকৃত AC Land ভলিউম ও জেরার বক্তব্য অনুযায়ী:</w:t>
      </w:r>
    </w:p>
    <w:p>
      <w:r>
        <w:rPr>
          <w:rFonts w:ascii="Kalpurush" w:cs="Kalpurush" w:eastAsia="Kalpurush" w:hAnsi="Kalpurush"/>
          <w:sz w:val="20"/>
          <w:szCs w:val="20"/>
        </w:rPr>
        <w:t xml:space="preserve">$$\text{Alleged 1969 correction} \longrightarrow \text{SA 238-এ দাগ মাত্র ১টি (১২৫৯ দাগ)}$$</w:t>
      </w:r>
    </w:p>
    <w:p>
      <w:r>
        <w:rPr>
          <w:rFonts w:ascii="Kalpurush" w:cs="Kalpurush" w:eastAsia="Kalpurush" w:hAnsi="Kalpurush"/>
        </w:rPr>
        <w:t xml:space="preserve"/>
      </w:r>
    </w:p>
    <w:p>
      <w:r>
        <w:rPr>
          <w:rFonts w:ascii="Kalpurush" w:cs="Kalpurush" w:eastAsia="Kalpurush" w:hAnsi="Kalpurush"/>
          <w:sz w:val="20"/>
          <w:szCs w:val="20"/>
        </w:rPr>
        <w:t xml:space="preserve">কিন্তু তাহাদের নিজেদের রেজিস্ট্রিকৃত ৩৫৯৬/১৯৭৫ নং দলিলে (Exhibit Kha-1) SA ২৩৮-এর অধীনে ছয়টি দাগের উল্লেখ রহিয়াছে:</w:t>
      </w:r>
    </w:p>
    <w:p>
      <w:r>
        <w:rPr>
          <w:rFonts w:ascii="Kalpurush" w:cs="Kalpurush" w:eastAsia="Kalpurush" w:hAnsi="Kalpurush"/>
          <w:sz w:val="20"/>
          <w:szCs w:val="20"/>
        </w:rPr>
        <w:t xml:space="preserve">$$\text{দাগসমূহ: ১২৫৯, ৭৫, ৩, ৫৪, ১২৫২ এবং ১২২০}$$</w:t>
      </w:r>
    </w:p>
    <w:p>
      <w:r>
        <w:rPr>
          <w:rFonts w:ascii="Kalpurush" w:cs="Kalpurush" w:eastAsia="Kalpurush" w:hAnsi="Kalpurush"/>
        </w:rPr>
        <w:t xml:space="preserve"/>
      </w:r>
    </w:p>
    <w:p>
      <w:r>
        <w:rPr>
          <w:rFonts w:ascii="Kalpurush" w:cs="Kalpurush" w:eastAsia="Kalpurush" w:hAnsi="Kalpurush"/>
          <w:sz w:val="20"/>
          <w:szCs w:val="20"/>
        </w:rPr>
        <w:t xml:space="preserve">তাই আদালতের সামনে প্রশ্নটি খুব সুনির্দিষ্ট:</w:t>
      </w:r>
    </w:p>
    <w:p>
      <w:pPr>
        <w:ind w:left="720"/>
      </w:pPr>
      <w:r>
        <w:rPr>
          <w:rFonts w:ascii="Kalpurush" w:cs="Kalpurush" w:eastAsia="Kalpurush" w:hAnsi="Kalpurush"/>
          <w:b/>
          <w:bCs/>
          <w:i/>
          <w:iCs/>
          <w:sz w:val="20"/>
          <w:szCs w:val="20"/>
        </w:rPr>
        <w:t xml:space="preserve">"If the alleged 1969 correction had reduced the SA 238 holding to one dag, why does the respondents' own registered deed of 1975 describe six dags under the same khatian?"</w:t>
      </w:r>
    </w:p>
    <w:p>
      <w:r>
        <w:rPr>
          <w:rFonts w:ascii="Kalpurush" w:cs="Kalpurush" w:eastAsia="Kalpurush" w:hAnsi="Kalpurush"/>
        </w:rPr>
        <w:t xml:space="preserve"/>
      </w:r>
    </w:p>
    <w:p>
      <w:r>
        <w:rPr>
          <w:rFonts w:ascii="Kalpurush" w:cs="Kalpurush" w:eastAsia="Kalpurush" w:hAnsi="Kalpurush"/>
          <w:sz w:val="20"/>
          <w:szCs w:val="20"/>
        </w:rPr>
        <w:t xml:space="preserve">আমরা এটিকে কোনো উত্তেজনাকর শব্দে উপস্থাপন করছি না। বরং আমাদের বক্তব্য:</w:t>
      </w:r>
    </w:p>
    <w:p>
      <w:pPr>
        <w:ind w:left="720"/>
      </w:pPr>
      <w:r>
        <w:rPr>
          <w:rFonts w:ascii="Kalpurush" w:cs="Kalpurush" w:eastAsia="Kalpurush" w:hAnsi="Kalpurush"/>
          <w:b/>
          <w:bCs/>
          <w:i/>
          <w:iCs/>
          <w:sz w:val="20"/>
          <w:szCs w:val="20"/>
        </w:rPr>
        <w:t xml:space="preserve">"It creates a serious documentary contradiction that materially weakens the evidentiary value of the alleged correction theory."</w:t>
      </w:r>
    </w:p>
    <w:p>
      <w:r>
        <w:rPr>
          <w:rFonts w:ascii="Kalpurush" w:cs="Kalpurush" w:eastAsia="Kalpurush" w:hAnsi="Kalpurush"/>
        </w:rPr>
        <w:t xml:space="preserve"/>
      </w:r>
    </w:p>
    <w:p>
      <w:r>
        <w:rPr>
          <w:rFonts w:ascii="Kalpurush" w:cs="Kalpurush" w:eastAsia="Kalpurush" w:hAnsi="Kalpurush"/>
          <w:sz w:val="20"/>
          <w:szCs w:val="20"/>
        </w:rPr>
        <w:t xml:space="preserve">এই পরিমিত ও রেকর্ড-ভিত্তিক ভাষাই আদালতসমক্ষে সর্বাধিক গ্রহণযোগ্য ও শক্তিশালী।</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IX. সোনাভানুর অন্য ওয়ারিশদের (বেলুয়া ও কমলা) অবস্থান</w:t>
      </w:r>
    </w:p>
    <w:p>
      <w:r>
        <w:rPr>
          <w:rFonts w:ascii="Kalpurush" w:cs="Kalpurush" w:eastAsia="Kalpurush" w:hAnsi="Kalpurush"/>
        </w:rPr>
        <w:t xml:space="preserve"/>
      </w:r>
    </w:p>
    <w:p>
      <w:r>
        <w:rPr>
          <w:rFonts w:ascii="Kalpurush" w:cs="Kalpurush" w:eastAsia="Kalpurush" w:hAnsi="Kalpurush"/>
          <w:sz w:val="20"/>
          <w:szCs w:val="20"/>
        </w:rPr>
        <w:t xml:space="preserve">বিবাদীদের নিজস্ব বক্তব্য অনুযায়ী সোনাভানুর inheritance theory যদি সত্য হয়, তাহলে অন্যান্য ওয়ারিশদের অবস্থানও পরিষ্কার হওয়ার কথা ছিল।</w:t>
      </w:r>
    </w:p>
    <w:p>
      <w:r>
        <w:rPr>
          <w:rFonts w:ascii="Kalpurush" w:cs="Kalpurush" w:eastAsia="Kalpurush" w:hAnsi="Kalpurush"/>
        </w:rPr>
        <w:t xml:space="preserve"/>
      </w:r>
    </w:p>
    <w:p>
      <w:r>
        <w:rPr>
          <w:rFonts w:ascii="Kalpurush" w:cs="Kalpurush" w:eastAsia="Kalpurush" w:hAnsi="Kalpurush"/>
          <w:sz w:val="20"/>
          <w:szCs w:val="20"/>
        </w:rPr>
        <w:t xml:space="preserve">কিন্তু বিচারিক রেকর্ড অনুযায়ী—বেলুয়া, কমলা ইত্যাদি ওয়ারিশদের নাম কথিত সংশোধিত কাঠামোতে অন্তর্ভুক্ত নেই।</w:t>
      </w:r>
    </w:p>
    <w:p>
      <w:r>
        <w:rPr>
          <w:rFonts w:ascii="Kalpurush" w:cs="Kalpurush" w:eastAsia="Kalpurush" w:hAnsi="Kalpurush"/>
        </w:rPr>
        <w:t xml:space="preserve"/>
      </w:r>
    </w:p>
    <w:p>
      <w:r>
        <w:rPr>
          <w:rFonts w:ascii="Kalpurush" w:cs="Kalpurush" w:eastAsia="Kalpurush" w:hAnsi="Kalpurush"/>
          <w:sz w:val="20"/>
          <w:szCs w:val="20"/>
        </w:rPr>
        <w:t xml:space="preserve">আমাদের বিনীত বক্তব্য:</w:t>
      </w:r>
    </w:p>
    <w:p>
      <w:pPr>
        <w:ind w:left="720"/>
      </w:pPr>
      <w:r>
        <w:rPr>
          <w:rFonts w:ascii="Kalpurush" w:cs="Kalpurush" w:eastAsia="Kalpurush" w:hAnsi="Kalpurush"/>
          <w:b/>
          <w:bCs/>
          <w:i/>
          <w:iCs/>
          <w:sz w:val="20"/>
          <w:szCs w:val="20"/>
        </w:rPr>
        <w:t xml:space="preserve">"The selective nature of the alleged entry creates a further evidentiary difficulty: if the entry is said to reflect a genuine adjudication of inheritance, the respondents must explain why the alleged correction does not correspond with the complete succession structure they themselves assert."</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X. গাণিতিক অসামঞ্জস্য (Arithmetic Discrepancy) — Supporting Circumstance</w:t>
      </w:r>
    </w:p>
    <w:p>
      <w:r>
        <w:rPr>
          <w:rFonts w:ascii="Kalpurush" w:cs="Kalpurush" w:eastAsia="Kalpurush" w:hAnsi="Kalpurush"/>
        </w:rPr>
        <w:t xml:space="preserve"/>
      </w:r>
    </w:p>
    <w:p>
      <w:r>
        <w:rPr>
          <w:rFonts w:ascii="Kalpurush" w:cs="Kalpurush" w:eastAsia="Kalpurush" w:hAnsi="Kalpurush"/>
          <w:sz w:val="20"/>
          <w:szCs w:val="20"/>
        </w:rPr>
        <w:t xml:space="preserve">এই বিষয়টি কোনো একক স্বত্বের প্রমাণ হিসেবে নয়, বরং সহায়ক পরিস্থিতিগত প্রমাণ হিসেবে বিবেচ্য:</w:t>
      </w:r>
    </w:p>
    <w:p>
      <w:r>
        <w:rPr>
          <w:rFonts w:ascii="Kalpurush" w:cs="Kalpurush" w:eastAsia="Kalpurush" w:hAnsi="Kalpurush"/>
        </w:rPr>
        <w:t xml:space="preserve"/>
      </w:r>
    </w:p>
    <w:p>
      <w:pPr>
        <w:pStyle w:val="ListParagraph"/>
        <w:numPr>
          <w:ilvl w:val="0"/>
          <w:numId w:val="1"/>
        </w:numPr>
      </w:pPr>
      <w:r>
        <w:rPr>
          <w:rFonts w:ascii="Kalpurush" w:cs="Kalpurush" w:eastAsia="Kalpurush" w:hAnsi="Kalpurush"/>
          <w:b/>
          <w:bCs/>
          <w:sz w:val="20"/>
          <w:szCs w:val="20"/>
        </w:rPr>
        <w:t xml:space="preserve">বাদীপক্ষের হিসাব:</w:t>
      </w:r>
      <w:r>
        <w:rPr>
          <w:rFonts w:ascii="Kalpurush" w:cs="Kalpurush" w:eastAsia="Kalpurush" w:hAnsi="Kalpurush"/>
          <w:sz w:val="20"/>
          <w:szCs w:val="20"/>
        </w:rPr>
        <w:t xml:space="preserve"> ৩৪০ শতাংশ + সরকারি খাস ১৩৭ শতাংশ = ৪৭৭ শতাংশ (দাগের মোট আয়তন)।</w:t>
      </w:r>
    </w:p>
    <w:p>
      <w:pPr>
        <w:pStyle w:val="ListParagraph"/>
        <w:numPr>
          <w:ilvl w:val="0"/>
          <w:numId w:val="1"/>
        </w:numPr>
      </w:pPr>
      <w:r>
        <w:rPr>
          <w:rFonts w:ascii="Kalpurush" w:cs="Kalpurush" w:eastAsia="Kalpurush" w:hAnsi="Kalpurush"/>
          <w:b/>
          <w:bCs/>
          <w:sz w:val="20"/>
          <w:szCs w:val="20"/>
        </w:rPr>
        <w:t xml:space="preserve">বিবাদীপক্ষের হিসাব:</w:t>
      </w:r>
      <w:r>
        <w:rPr>
          <w:rFonts w:ascii="Kalpurush" w:cs="Kalpurush" w:eastAsia="Kalpurush" w:hAnsi="Kalpurush"/>
          <w:sz w:val="20"/>
          <w:szCs w:val="20"/>
        </w:rPr>
        <w:t xml:space="preserve"> ৩৪৯ শতাংশ + সরকারি খাস ১৩৭ শতাংশ = ৪৮৬ শতাংশ।</w:t>
      </w:r>
    </w:p>
    <w:p>
      <w:r>
        <w:rPr>
          <w:rFonts w:ascii="Kalpurush" w:cs="Kalpurush" w:eastAsia="Kalpurush" w:hAnsi="Kalpurush"/>
        </w:rPr>
        <w:t xml:space="preserve"/>
      </w:r>
    </w:p>
    <w:p>
      <w:r>
        <w:rPr>
          <w:rFonts w:ascii="Kalpurush" w:cs="Kalpurush" w:eastAsia="Kalpurush" w:hAnsi="Kalpurush"/>
          <w:sz w:val="20"/>
          <w:szCs w:val="20"/>
        </w:rPr>
        <w:t xml:space="preserve">যদি ১২৫৯ দাগের মোট পরিমাণ ৪৭৭ শতাংশ হয়, তবে বিবাদীদের দাবিতে ৯ শতাংশ অতিরিক্ত জমি রহিয়াছে।</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"This arithmetic discrepancy is not relied upon as an independent title proof; it is a supporting circumstance showing that the respondents' measurement/share narrative requires explanation."</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XI. Burden of Proof — ট্রায়াল কোর্টের বিরুদ্ধে সবচেয়ে পরিষ্কার আইনি গ্রাউন্ড</w:t>
      </w:r>
    </w:p>
    <w:p>
      <w:r>
        <w:rPr>
          <w:rFonts w:ascii="Kalpurush" w:cs="Kalpurush" w:eastAsia="Kalpurush" w:hAnsi="Kalpurush"/>
        </w:rPr>
        <w:t xml:space="preserve"/>
      </w:r>
    </w:p>
    <w:p>
      <w:r>
        <w:rPr>
          <w:rFonts w:ascii="Kalpurush" w:cs="Kalpurush" w:eastAsia="Kalpurush" w:hAnsi="Kalpurush"/>
          <w:sz w:val="20"/>
          <w:szCs w:val="20"/>
        </w:rPr>
        <w:t xml:space="preserve">এটাই এই আপীলের সবচেয়ে পরিষ্কার appellate ground:</w:t>
      </w:r>
    </w:p>
    <w:p>
      <w:r>
        <w:rPr>
          <w:rFonts w:ascii="Kalpurush" w:cs="Kalpurush" w:eastAsia="Kalpurush" w:hAnsi="Kalpurush"/>
        </w:rPr>
        <w:t xml:space="preserve"/>
      </w:r>
    </w:p>
    <w:p>
      <w:pPr>
        <w:pStyle w:val="ListParagraph"/>
        <w:numPr>
          <w:ilvl w:val="0"/>
          <w:numId w:val="1"/>
        </w:numPr>
      </w:pPr>
      <w:r>
        <w:rPr>
          <w:rFonts w:ascii="Kalpurush" w:cs="Kalpurush" w:eastAsia="Kalpurush" w:hAnsi="Kalpurush"/>
          <w:b/>
          <w:bCs/>
          <w:sz w:val="20"/>
          <w:szCs w:val="20"/>
        </w:rPr>
        <w:t xml:space="preserve">আপীল্যান্টদের মামলা:</w:t>
      </w:r>
      <w:r>
        <w:rPr>
          <w:rFonts w:ascii="Kalpurush" w:cs="Kalpurush" w:eastAsia="Kalpurush" w:hAnsi="Kalpurush"/>
          <w:sz w:val="20"/>
          <w:szCs w:val="20"/>
        </w:rPr>
        <w:t xml:space="preserve"> SA ২৩৮ বিদ্যমান $\rightarrow$ আব্দুল আলী ১৬ আনা রেকর্ডভুক্ত রায়ত $\rightarrow$ Final publication $\rightarrow$ জেলা রেকর্ড রুমের অবিচ্ছিন্ন ধারাবাহিকতা।</w:t>
      </w:r>
    </w:p>
    <w:p>
      <w:pPr>
        <w:pStyle w:val="ListParagraph"/>
        <w:numPr>
          <w:ilvl w:val="0"/>
          <w:numId w:val="1"/>
        </w:numPr>
      </w:pPr>
      <w:r>
        <w:rPr>
          <w:rFonts w:ascii="Kalpurush" w:cs="Kalpurush" w:eastAsia="Kalpurush" w:hAnsi="Kalpurush"/>
          <w:b/>
          <w:bCs/>
          <w:sz w:val="20"/>
          <w:szCs w:val="20"/>
        </w:rPr>
        <w:t xml:space="preserve">বিবাদীপক্ষের মামলা:</w:t>
      </w:r>
      <w:r>
        <w:rPr>
          <w:rFonts w:ascii="Kalpurush" w:cs="Kalpurush" w:eastAsia="Kalpurush" w:hAnsi="Kalpurush"/>
          <w:sz w:val="20"/>
          <w:szCs w:val="20"/>
        </w:rPr>
        <w:t xml:space="preserve"> "SA রেকর্ড ভুল/সংশোধিত, কারণ ১৯৬৯ সালে ঘটনা ঘটিয়াছে।"</w:t>
      </w:r>
    </w:p>
    <w:p>
      <w:r>
        <w:rPr>
          <w:rFonts w:ascii="Kalpurush" w:cs="Kalpurush" w:eastAsia="Kalpurush" w:hAnsi="Kalpurush"/>
        </w:rPr>
        <w:t xml:space="preserve"/>
      </w:r>
    </w:p>
    <w:p>
      <w:r>
        <w:rPr>
          <w:rFonts w:ascii="Kalpurush" w:cs="Kalpurush" w:eastAsia="Kalpurush" w:hAnsi="Kalpurush"/>
          <w:sz w:val="20"/>
          <w:szCs w:val="20"/>
        </w:rPr>
        <w:t xml:space="preserve">তাহলে সেই ঘটনার প্রমাণ কোথায়?</w:t>
      </w:r>
    </w:p>
    <w:p>
      <w:r>
        <w:rPr>
          <w:rFonts w:ascii="Kalpurush" w:cs="Kalpurush" w:eastAsia="Kalpurush" w:hAnsi="Kalpurush"/>
        </w:rPr>
        <w:t xml:space="preserve"/>
      </w:r>
    </w:p>
    <w:p>
      <w:r>
        <w:rPr>
          <w:rFonts w:ascii="Kalpurush" w:cs="Kalpurush" w:eastAsia="Kalpurush" w:hAnsi="Kalpurush"/>
          <w:sz w:val="20"/>
          <w:szCs w:val="20"/>
        </w:rPr>
        <w:t xml:space="preserve">Evidence Act Section 103-এর সাধারণ নীতি হলো — যে পক্ষ কোনো particular fact-এর অস্তিত্ব আদালতকে বিশ্বাস করাতে চায়, তার প্রমাণের ভার তাহারই উপর।</w:t>
      </w:r>
    </w:p>
    <w:p>
      <w:r>
        <w:rPr>
          <w:rFonts w:ascii="Kalpurush" w:cs="Kalpurush" w:eastAsia="Kalpurush" w:hAnsi="Kalpurush"/>
        </w:rPr>
        <w:t xml:space="preserve"/>
      </w:r>
    </w:p>
    <w:p>
      <w:r>
        <w:rPr>
          <w:rFonts w:ascii="Kalpurush" w:cs="Kalpurush" w:eastAsia="Kalpurush" w:hAnsi="Kalpurush"/>
          <w:sz w:val="20"/>
          <w:szCs w:val="20"/>
        </w:rPr>
        <w:t xml:space="preserve">আমরা বলছি না "Plaintiff has nothing more to prove." বরং আমাদের সুনির্দিষ্ট বক্তব্য:</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"Once the plaintiff relied upon the finally published SA record, the evidentiary burden concerning the alleged subsequent correction could not be reversed merely because the defendants asserted that correction. The challenger had to establish the corrective event by positive evidence."</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Md. Azizul Hoque vs. Md. Akbar Ali, 10 BLT (AD) 105 &amp; Nuruddin Ahmed vs. Md. Jaman, 45 DLR (AD) 124:</w:t>
      </w:r>
    </w:p>
    <w:p>
      <w:pPr>
        <w:ind w:left="720"/>
      </w:pPr>
      <w:r>
        <w:rPr>
          <w:rFonts w:ascii="Kalpurush" w:cs="Kalpurush" w:eastAsia="Kalpurush" w:hAnsi="Kalpurush"/>
          <w:i/>
          <w:iCs/>
          <w:sz w:val="20"/>
          <w:szCs w:val="20"/>
        </w:rPr>
        <w:t xml:space="preserve">আপীল বিভাগের সুপ্রতিষ্ঠিত সিদ্ধান্ত অনুযায়ী রেকর্ডের ভুল প্রমাণের ভার চ্যালেঞ্জকারীর উপর এবং বাদীর উপর নেতিবাচক প্রমাণ চাপানো বিচারিক ভুল।</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XII. ট্রায়াল কোর্টের রায়ে মূল চারটি কাঠামোগত ভুল (The 4 Structural Errors)</w:t>
      </w:r>
    </w:p>
    <w:p>
      <w:r>
        <w:rPr>
          <w:rFonts w:ascii="Kalpurush" w:cs="Kalpurush" w:eastAsia="Kalpurush" w:hAnsi="Kalpurush"/>
        </w:rPr>
        <w:t xml:space="preserve"/>
      </w:r>
    </w:p>
    <w:p>
      <w:r>
        <w:rPr>
          <w:rFonts w:ascii="Kalpurush" w:cs="Kalpurush" w:eastAsia="Kalpurush" w:hAnsi="Kalpurush"/>
          <w:sz w:val="20"/>
          <w:szCs w:val="20"/>
        </w:rPr>
        <w:t xml:space="preserve">পুরো আপীলকে চারটি সুনির্দিষ্ট ভুলের মধ্যে সংক্ষিপ্ত করা যায়:</w:t>
      </w:r>
    </w:p>
    <w:p>
      <w:r>
        <w:rPr>
          <w:rFonts w:ascii="Kalpurush" w:cs="Kalpurush" w:eastAsia="Kalpurush" w:hAnsi="Kalpurush"/>
        </w:rPr>
        <w:t xml:space="preserve"/>
      </w:r>
    </w:p>
    <w:p>
      <w:r>
        <w:rPr>
          <w:rFonts w:ascii="Kalpurush" w:cs="Kalpurush" w:eastAsia="Kalpurush" w:hAnsi="Kalpurush"/>
          <w:sz w:val="20"/>
          <w:szCs w:val="20"/>
        </w:rPr>
        <w:t xml:space="preserve">1. </w:t>
      </w:r>
      <w:r>
        <w:rPr>
          <w:rFonts w:ascii="Kalpurush" w:cs="Kalpurush" w:eastAsia="Kalpurush" w:hAnsi="Kalpurush"/>
          <w:b/>
          <w:bCs/>
          <w:sz w:val="20"/>
          <w:szCs w:val="20"/>
        </w:rPr>
        <w:t xml:space="preserve">Error 1 — Assumption before proof:</w:t>
      </w:r>
    </w:p>
    <w:p>
      <w:r>
        <w:rPr>
          <w:rFonts w:ascii="Kalpurush" w:cs="Kalpurush" w:eastAsia="Kalpurush" w:hAnsi="Kalpurush"/>
          <w:sz w:val="20"/>
          <w:szCs w:val="20"/>
        </w:rPr>
        <w:t xml:space="preserve">   Trial Court first assumed Abdul Karim's foundational tenancy and then used that assumption to undermine SA 238.</w:t>
      </w:r>
    </w:p>
    <w:p>
      <w:r>
        <w:rPr>
          <w:rFonts w:ascii="Kalpurush" w:cs="Kalpurush" w:eastAsia="Kalpurush" w:hAnsi="Kalpurush"/>
          <w:sz w:val="20"/>
          <w:szCs w:val="20"/>
        </w:rPr>
        <w:t xml:space="preserve">2. </w:t>
      </w:r>
      <w:r>
        <w:rPr>
          <w:rFonts w:ascii="Kalpurush" w:cs="Kalpurush" w:eastAsia="Kalpurush" w:hAnsi="Kalpurush"/>
          <w:b/>
          <w:bCs/>
          <w:sz w:val="20"/>
          <w:szCs w:val="20"/>
        </w:rPr>
        <w:t xml:space="preserve">Error 2 — Missing foundation accepted as established fact:</w:t>
      </w:r>
    </w:p>
    <w:p>
      <w:r>
        <w:rPr>
          <w:rFonts w:ascii="Kalpurush" w:cs="Kalpurush" w:eastAsia="Kalpurush" w:hAnsi="Kalpurush"/>
          <w:sz w:val="20"/>
          <w:szCs w:val="20"/>
        </w:rPr>
        <w:t xml:space="preserve">   1969 Misc Case-এর legal effect ধরে নেওয়া হয়েছে, যদিও underlying order বা proceeding আদালতে properly proved নয়।</w:t>
      </w:r>
    </w:p>
    <w:p>
      <w:r>
        <w:rPr>
          <w:rFonts w:ascii="Kalpurush" w:cs="Kalpurush" w:eastAsia="Kalpurush" w:hAnsi="Kalpurush"/>
          <w:sz w:val="20"/>
          <w:szCs w:val="20"/>
        </w:rPr>
        <w:t xml:space="preserve">3. </w:t>
      </w:r>
      <w:r>
        <w:rPr>
          <w:rFonts w:ascii="Kalpurush" w:cs="Kalpurush" w:eastAsia="Kalpurush" w:hAnsi="Kalpurush"/>
          <w:b/>
          <w:bCs/>
          <w:sz w:val="20"/>
          <w:szCs w:val="20"/>
        </w:rPr>
        <w:t xml:space="preserve">Error 3 — Secondary/revenue entry given disproportionate weight:</w:t>
      </w:r>
    </w:p>
    <w:p>
      <w:r>
        <w:rPr>
          <w:rFonts w:ascii="Kalpurush" w:cs="Kalpurush" w:eastAsia="Kalpurush" w:hAnsi="Kalpurush"/>
          <w:sz w:val="20"/>
          <w:szCs w:val="20"/>
        </w:rPr>
        <w:t xml:space="preserve">   AC Land volume entry-এর evidentiary/legal status independently established না করেই সেটিকে final SA record-এর বিরুদ্ধে ব্যবহার করা হয়েছে।</w:t>
      </w:r>
    </w:p>
    <w:p>
      <w:r>
        <w:rPr>
          <w:rFonts w:ascii="Kalpurush" w:cs="Kalpurush" w:eastAsia="Kalpurush" w:hAnsi="Kalpurush"/>
          <w:sz w:val="20"/>
          <w:szCs w:val="20"/>
        </w:rPr>
        <w:t xml:space="preserve">4. </w:t>
      </w:r>
      <w:r>
        <w:rPr>
          <w:rFonts w:ascii="Kalpurush" w:cs="Kalpurush" w:eastAsia="Kalpurush" w:hAnsi="Kalpurush"/>
          <w:b/>
          <w:bCs/>
          <w:sz w:val="20"/>
          <w:szCs w:val="20"/>
        </w:rPr>
        <w:t xml:space="preserve">Error 4 — Material contradictions not resolved:</w:t>
      </w:r>
    </w:p>
    <w:p>
      <w:r>
        <w:rPr>
          <w:rFonts w:ascii="Kalpurush" w:cs="Kalpurush" w:eastAsia="Kalpurush" w:hAnsi="Kalpurush"/>
          <w:sz w:val="20"/>
          <w:szCs w:val="20"/>
        </w:rPr>
        <w:t xml:space="preserve">   1975 deed-এর 6-dag description বনাম alleged 1-dag volume entry, selective heir omission এবং arithmetic discrepancy—এই material contradictions-এর adequate judicial consideration ট্রায়াল কোর্টের রায়ে অনুপস্থিত।</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XIII. Hotchpot ও Non-joinder — Supporting Ground, Main Ground নয়</w:t>
      </w:r>
    </w:p>
    <w:p>
      <w:r>
        <w:rPr>
          <w:rFonts w:ascii="Kalpurush" w:cs="Kalpurush" w:eastAsia="Kalpurush" w:hAnsi="Kalpurush"/>
        </w:rPr>
        <w:t xml:space="preserve"/>
      </w:r>
    </w:p>
    <w:p>
      <w:r>
        <w:rPr>
          <w:rFonts w:ascii="Kalpurush" w:cs="Kalpurush" w:eastAsia="Kalpurush" w:hAnsi="Kalpurush"/>
          <w:sz w:val="20"/>
          <w:szCs w:val="20"/>
        </w:rPr>
        <w:t xml:space="preserve">এই বিষয়টি স্বত্ব ও রেকর্ডের মূল প্রশ্নের পরবর্তী একটি পদ্ধতিগত বিষয়:</w:t>
      </w:r>
    </w:p>
    <w:p>
      <w:r>
        <w:rPr>
          <w:rFonts w:ascii="Kalpurush" w:cs="Kalpurush" w:eastAsia="Kalpurush" w:hAnsi="Kalpurush"/>
        </w:rPr>
        <w:t xml:space="preserve"/>
      </w:r>
    </w:p>
    <w:p>
      <w:pPr>
        <w:pStyle w:val="ListParagraph"/>
        <w:numPr>
          <w:ilvl w:val="0"/>
          <w:numId w:val="1"/>
        </w:numPr>
      </w:pPr>
      <w:r>
        <w:rPr>
          <w:rFonts w:ascii="Kalpurush" w:cs="Kalpurush" w:eastAsia="Kalpurush" w:hAnsi="Kalpurush"/>
          <w:sz w:val="20"/>
          <w:szCs w:val="20"/>
        </w:rPr>
        <w:t xml:space="preserve">SA ২৩৮ একটি স্বতন্ত্র private raiyati holding; সরকারি জমি পৃথক খাস খতিয়ানে অন্তর্ভুক্ত।</w:t>
      </w:r>
    </w:p>
    <w:p>
      <w:pPr>
        <w:pStyle w:val="ListParagraph"/>
        <w:numPr>
          <w:ilvl w:val="0"/>
          <w:numId w:val="1"/>
        </w:numPr>
      </w:pPr>
      <w:r>
        <w:rPr>
          <w:rFonts w:ascii="Kalpurush" w:cs="Kalpurush" w:eastAsia="Kalpurush" w:hAnsi="Kalpurush"/>
          <w:sz w:val="20"/>
          <w:szCs w:val="20"/>
        </w:rPr>
        <w:t xml:space="preserve">আপীল্যান্ট বাদীপক্ষ সরকারি জমিতে কোনো অংশ দাবি করেন নাই এবং সরকারের বিরুদ্ধে কোনো প্রতিকার চান নাই।</w:t>
      </w:r>
    </w:p>
    <w:p>
      <w:pPr>
        <w:pStyle w:val="ListParagraph"/>
        <w:numPr>
          <w:ilvl w:val="0"/>
          <w:numId w:val="1"/>
        </w:numPr>
      </w:pPr>
      <w:r>
        <w:rPr>
          <w:rFonts w:ascii="Kalpurush" w:cs="Kalpurush" w:eastAsia="Kalpurush" w:hAnsi="Kalpurush"/>
          <w:sz w:val="20"/>
          <w:szCs w:val="20"/>
        </w:rPr>
        <w:t xml:space="preserve">*The alleged Government land is neither claimed by the plaintiffs nor sought to be partitioned.*</w:t>
      </w:r>
    </w:p>
    <w:p>
      <w:pPr>
        <w:pStyle w:val="ListParagraph"/>
        <w:numPr>
          <w:ilvl w:val="0"/>
          <w:numId w:val="1"/>
        </w:numPr>
      </w:pPr>
      <w:r>
        <w:rPr>
          <w:rFonts w:ascii="Kalpurush" w:cs="Kalpurush" w:eastAsia="Kalpurush" w:hAnsi="Kalpurush"/>
          <w:sz w:val="20"/>
          <w:szCs w:val="20"/>
        </w:rPr>
        <w:t xml:space="preserve">একই দাগ নম্বর থাকার অর্থ একই tenancy নহে (*Shahjahan Akon vs. Murshida Khanam, 27 BLD 229*)।</w:t>
      </w:r>
    </w:p>
    <w:p>
      <w:pPr>
        <w:pStyle w:val="ListParagraph"/>
        <w:numPr>
          <w:ilvl w:val="0"/>
          <w:numId w:val="1"/>
        </w:numPr>
      </w:pPr>
      <w:r>
        <w:rPr>
          <w:rFonts w:ascii="Kalpurush" w:cs="Kalpurush" w:eastAsia="Kalpurush" w:hAnsi="Kalpurush"/>
          <w:sz w:val="20"/>
          <w:szCs w:val="20"/>
        </w:rPr>
        <w:t xml:space="preserve">প্রাইভেট কো-শেয়ারারদের মধ্যে বাটোয়ারা মামলায় সরকার আবশ্যকীয় পক্ষ নহে (*Safaruddin vs. Fazlul Huq, 49 DLR (AD) 15; Syed Nurul Huda, 8 SCOB 1*)।</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XIV. ১ নং রেসপন্ডেন্টের (সোলায়মান হোসেন) অবস্থান</w:t>
      </w:r>
    </w:p>
    <w:p>
      <w:r>
        <w:rPr>
          <w:rFonts w:ascii="Kalpurush" w:cs="Kalpurush" w:eastAsia="Kalpurush" w:hAnsi="Kalpurush"/>
        </w:rPr>
        <w:t xml:space="preserve"/>
      </w:r>
    </w:p>
    <w:p>
      <w:r>
        <w:rPr>
          <w:rFonts w:ascii="Kalpurush" w:cs="Kalpurush" w:eastAsia="Kalpurush" w:hAnsi="Kalpurush"/>
          <w:sz w:val="20"/>
          <w:szCs w:val="20"/>
        </w:rPr>
        <w:t xml:space="preserve">১ নং রেসপন্ডেন্ট আব্দুল আলীর উত্তরাধিকারী হিসেবে আপীল্যান্টদের সঙ্গে আপোষ বাটোয়ারায় একমত এবং আদালতে সোলেনামা দাখিল করিয়াছেন (CPC Order XXIII Rule 3)।</w:t>
      </w:r>
    </w:p>
    <w:p>
      <w:r>
        <w:rPr>
          <w:rFonts w:ascii="Kalpurush" w:cs="Kalpurush" w:eastAsia="Kalpurush" w:hAnsi="Kalpurush"/>
        </w:rPr>
        <w:t xml:space="preserve"/>
      </w:r>
    </w:p>
    <w:p>
      <w:r>
        <w:rPr>
          <w:rFonts w:ascii="Kalpurush" w:cs="Kalpurush" w:eastAsia="Kalpurush" w:hAnsi="Kalpurush"/>
          <w:sz w:val="20"/>
          <w:szCs w:val="20"/>
        </w:rPr>
        <w:t xml:space="preserve">তাঁকে কোনো contesting title defendant হিসেবে উপস্থাপন করার অবকাশ নাই; বরং তিনি SA ২৩৮-ভিত্তিক বাটোয়ারায় একমত পোষণ করিয়া মামলার বাস্তবসম্মত ন্যায়বিচারকে (practical equity) সমর্থন করিতেছেন।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XV. সমাপনী বক্তব্য (Final Submission)</w:t>
      </w:r>
    </w:p>
    <w:p>
      <w:r>
        <w:rPr>
          <w:rFonts w:ascii="Kalpurush" w:cs="Kalpurush" w:eastAsia="Kalpurush" w:hAnsi="Kalpurush"/>
        </w:rPr>
        <w:t xml:space="preserve"/>
      </w:r>
    </w:p>
    <w:p>
      <w:r>
        <w:rPr>
          <w:rFonts w:ascii="Kalpurush" w:cs="Kalpurush" w:eastAsia="Kalpurush" w:hAnsi="Kalpurush"/>
          <w:sz w:val="20"/>
          <w:szCs w:val="20"/>
        </w:rPr>
        <w:t xml:space="preserve">মহামান্য আদালত,</w:t>
      </w:r>
    </w:p>
    <w:p>
      <w:r>
        <w:rPr>
          <w:rFonts w:ascii="Kalpurush" w:cs="Kalpurush" w:eastAsia="Kalpurush" w:hAnsi="Kalpurush"/>
        </w:rPr>
        <w:t xml:space="preserve"/>
      </w:r>
    </w:p>
    <w:p>
      <w:r>
        <w:rPr>
          <w:rFonts w:ascii="Kalpurush" w:cs="Kalpurush" w:eastAsia="Kalpurush" w:hAnsi="Kalpurush"/>
          <w:sz w:val="20"/>
          <w:szCs w:val="20"/>
        </w:rPr>
        <w:t xml:space="preserve">এই মামলায় বাদীপক্ষকে জয়ী করতে আদালতকে ১৯৩৪ সালের কোনো নতুন গল্প গ্রহণ করতে হবে না।</w:t>
      </w:r>
    </w:p>
    <w:p>
      <w:r>
        <w:rPr>
          <w:rFonts w:ascii="Kalpurush" w:cs="Kalpurush" w:eastAsia="Kalpurush" w:hAnsi="Kalpurush"/>
        </w:rPr>
        <w:t xml:space="preserve"/>
      </w:r>
    </w:p>
    <w:p>
      <w:r>
        <w:rPr>
          <w:rFonts w:ascii="Kalpurush" w:cs="Kalpurush" w:eastAsia="Kalpurush" w:hAnsi="Kalpurush"/>
          <w:sz w:val="20"/>
          <w:szCs w:val="20"/>
        </w:rPr>
        <w:t xml:space="preserve">আদালতের সামনে ইতিমধ্যে আছে—</w:t>
      </w:r>
    </w:p>
    <w:p>
      <w:r>
        <w:rPr>
          <w:rFonts w:ascii="Kalpurush" w:cs="Kalpurush" w:eastAsia="Kalpurush" w:hAnsi="Kalpurush"/>
          <w:sz w:val="20"/>
          <w:szCs w:val="20"/>
        </w:rPr>
        <w:t xml:space="preserve">$$\text{CS ২} \longrightarrow \text{State acquisition/settlement context} \longrightarrow \text{Finally published SA ২৩৮} \longrightarrow \text{আব্দুল আলী ১৬ আনা} \longrightarrow \text{District Record Room continuity}$$</w:t>
      </w:r>
    </w:p>
    <w:p>
      <w:r>
        <w:rPr>
          <w:rFonts w:ascii="Kalpurush" w:cs="Kalpurush" w:eastAsia="Kalpurush" w:hAnsi="Kalpurush"/>
        </w:rPr>
        <w:t xml:space="preserve"/>
      </w:r>
    </w:p>
    <w:p>
      <w:r>
        <w:rPr>
          <w:rFonts w:ascii="Kalpurush" w:cs="Kalpurush" w:eastAsia="Kalpurush" w:hAnsi="Kalpurush"/>
          <w:sz w:val="20"/>
          <w:szCs w:val="20"/>
        </w:rPr>
        <w:t xml:space="preserve">অন্যদিকে বিবাদীপক্ষের substantive challenge দাঁড়িয়ে আছে—</w:t>
      </w:r>
    </w:p>
    <w:p>
      <w:r>
        <w:rPr>
          <w:rFonts w:ascii="Kalpurush" w:cs="Kalpurush" w:eastAsia="Kalpurush" w:hAnsi="Kalpurush"/>
          <w:sz w:val="20"/>
          <w:szCs w:val="20"/>
        </w:rPr>
        <w:t xml:space="preserve">$$\text{Alleged Abdul Karim tenancy} \longrightarrow \text{Alleged inheritance} \longrightarrow \text{Alleged Misc Case 1181/1969} \longrightarrow \text{Alleged correction} \longrightarrow \text{AC Land volume entry}$$</w:t>
      </w:r>
    </w:p>
    <w:p>
      <w:r>
        <w:rPr>
          <w:rFonts w:ascii="Kalpurush" w:cs="Kalpurush" w:eastAsia="Kalpurush" w:hAnsi="Kalpurush"/>
        </w:rPr>
        <w:t xml:space="preserve"/>
      </w:r>
    </w:p>
    <w:p>
      <w:r>
        <w:rPr>
          <w:rFonts w:ascii="Kalpurush" w:cs="Kalpurush" w:eastAsia="Kalpurush" w:hAnsi="Kalpurush"/>
          <w:sz w:val="20"/>
          <w:szCs w:val="20"/>
        </w:rPr>
        <w:t xml:space="preserve">এই দ্বিতীয় শৃঙ্খলের দুইটি মূল ভিত্তি এখনো অপ্রমাণিত:</w:t>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Where is Abdul Karim's legal root tenancy?</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Where is the legal order that actually displaced Abdul Ali's recorded interest?</w:t>
      </w:r>
    </w:p>
    <w:p>
      <w:r>
        <w:rPr>
          <w:rFonts w:ascii="Kalpurush" w:cs="Kalpurush" w:eastAsia="Kalpurush" w:hAnsi="Kalpurush"/>
        </w:rPr>
        <w:t xml:space="preserve"/>
      </w:r>
    </w:p>
    <w:p>
      <w:r>
        <w:rPr>
          <w:rFonts w:ascii="Kalpurush" w:cs="Kalpurush" w:eastAsia="Kalpurush" w:hAnsi="Kalpurush"/>
          <w:sz w:val="20"/>
          <w:szCs w:val="20"/>
        </w:rPr>
        <w:t xml:space="preserve">এই দুই প্রশ্নের satisfactory documentary answer না পাওয়া পর্যন্ত একটি final SA record-কে displace করার মতো evidentiary foundation তৈরি হয় না।</w:t>
      </w:r>
    </w:p>
    <w:p>
      <w:r>
        <w:rPr>
          <w:rFonts w:ascii="Kalpurush" w:cs="Kalpurush" w:eastAsia="Kalpurush" w:hAnsi="Kalpurush"/>
        </w:rPr>
        <w:t xml:space="preserve"/>
      </w:r>
    </w:p>
    <w:p>
      <w:r>
        <w:rPr>
          <w:rFonts w:ascii="Kalpurush" w:cs="Kalpurush" w:eastAsia="Kalpurush" w:hAnsi="Kalpurush"/>
          <w:sz w:val="20"/>
          <w:szCs w:val="20"/>
        </w:rPr>
        <w:t xml:space="preserve">আর যখন বিবাদীদের নিজেদের ১৯৭৫ সালের রেজিস্ট্রিকৃত দলিল তলবকৃত ভলিউমের ১-দাগের ধারণার বিপরীতে ৬-দাগের বর্ণনা দিয়ে সাংঘর্ষিক হয়ে ওঠে, তখন কথিত সংশোধনের ধারণার credibility আরও দুর্বল হয়।</w:t>
      </w:r>
    </w:p>
    <w:p>
      <w:r>
        <w:rPr>
          <w:rFonts w:ascii="Kalpurush" w:cs="Kalpurush" w:eastAsia="Kalpurush" w:hAnsi="Kalpurush"/>
        </w:rPr>
        <w:t xml:space="preserve"/>
      </w:r>
    </w:p>
    <w:p>
      <w:r>
        <w:rPr>
          <w:rFonts w:ascii="Kalpurush" w:cs="Kalpurush" w:eastAsia="Kalpurush" w:hAnsi="Kalpurush"/>
          <w:sz w:val="20"/>
          <w:szCs w:val="20"/>
        </w:rPr>
        <w:t xml:space="preserve">অতএব আমাদের বক্তব্য খুব সীমিত এবং সুনির্দিষ্ট:</w:t>
      </w:r>
    </w:p>
    <w:p>
      <w:pPr>
        <w:ind w:left="720"/>
      </w:pPr>
      <w:r>
        <w:rPr>
          <w:rFonts w:ascii="Kalpurush" w:cs="Kalpurush" w:eastAsia="Kalpurush" w:hAnsi="Kalpurush"/>
          <w:b/>
          <w:bCs/>
          <w:i/>
          <w:iCs/>
          <w:sz w:val="20"/>
          <w:szCs w:val="20"/>
        </w:rPr>
        <w:t xml:space="preserve">"We do not ask the Court to hold that a finally published SA record can never be wrong. We ask the Court to require the party challenging that record to prove how, when and by what lawful instrument it was displaced."</w:t>
      </w:r>
    </w:p>
    <w:p>
      <w:r>
        <w:rPr>
          <w:rFonts w:ascii="Kalpurush" w:cs="Kalpurush" w:eastAsia="Kalpurush" w:hAnsi="Kalpurush"/>
        </w:rPr>
        <w:t xml:space="preserve"/>
      </w:r>
    </w:p>
    <w:p>
      <w:r>
        <w:rPr>
          <w:rFonts w:ascii="Kalpurush" w:cs="Kalpurush" w:eastAsia="Kalpurush" w:hAnsi="Kalpurush"/>
          <w:sz w:val="20"/>
          <w:szCs w:val="20"/>
        </w:rPr>
        <w:t xml:space="preserve">সেই প্রমাণের ঘাটতি পূরণ করার জন্য একটি unexplained volume entry আইনগতভাবে যথেষ্ট নয়।</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1"/>
        <w:jc w:val="center"/>
      </w:pPr>
      <w:r>
        <w:rPr>
          <w:rFonts w:ascii="Kalpurush" w:cs="Kalpurush" w:eastAsia="Kalpurush" w:hAnsi="Kalpurush"/>
          <w:sz w:val="20"/>
          <w:szCs w:val="20"/>
        </w:rPr>
        <w:t xml:space="preserve">প্রার্থিত প্রতিকার (Reliefs Sought)</w:t>
      </w:r>
    </w:p>
    <w:p>
      <w:r>
        <w:rPr>
          <w:rFonts w:ascii="Kalpurush" w:cs="Kalpurush" w:eastAsia="Kalpurush" w:hAnsi="Kalpurush"/>
        </w:rPr>
        <w:t xml:space="preserve"/>
      </w:r>
    </w:p>
    <w:p>
      <w:r>
        <w:rPr>
          <w:rFonts w:ascii="Kalpurush" w:cs="Kalpurush" w:eastAsia="Kalpurush" w:hAnsi="Kalpurush"/>
          <w:sz w:val="20"/>
          <w:szCs w:val="20"/>
        </w:rPr>
        <w:t xml:space="preserve">অতএব মহামান্য আদালতের নিকট বিনীত প্রার্থনা:</w:t>
      </w:r>
    </w:p>
    <w:p>
      <w:r>
        <w:rPr>
          <w:rFonts w:ascii="Kalpurush" w:cs="Kalpurush" w:eastAsia="Kalpurush" w:hAnsi="Kalpurush"/>
        </w:rPr>
        <w:t xml:space="preserve"/>
      </w:r>
    </w:p>
    <w:p>
      <w:r>
        <w:rPr>
          <w:rFonts w:ascii="Kalpurush" w:cs="Kalpurush" w:eastAsia="Kalpurush" w:hAnsi="Kalpurush"/>
          <w:b/>
          <w:bCs/>
          <w:sz w:val="20"/>
          <w:szCs w:val="20"/>
        </w:rPr>
        <w:t xml:space="preserve">ক)</w:t>
      </w:r>
      <w:r>
        <w:rPr>
          <w:rFonts w:ascii="Kalpurush" w:cs="Kalpurush" w:eastAsia="Kalpurush" w:hAnsi="Kalpurush"/>
          <w:sz w:val="20"/>
          <w:szCs w:val="20"/>
        </w:rPr>
        <w:t xml:space="preserve"> সখিপুর সিভিল জজ আদালতের ০৫/০৪/২০২৬ তারিখের Judgment এবং ০৯/০৪/২০২৬ তারিখের Decree বাতিল ও রহিত (set aside) করা হউক;</w:t>
      </w:r>
    </w:p>
    <w:p>
      <w:r>
        <w:rPr>
          <w:rFonts w:ascii="Kalpurush" w:cs="Kalpurush" w:eastAsia="Kalpurush" w:hAnsi="Kalpurush"/>
        </w:rPr>
        <w:t xml:space="preserve"/>
      </w:r>
    </w:p>
    <w:p>
      <w:r>
        <w:rPr>
          <w:rFonts w:ascii="Kalpurush" w:cs="Kalpurush" w:eastAsia="Kalpurush" w:hAnsi="Kalpurush"/>
          <w:b/>
          <w:bCs/>
          <w:sz w:val="20"/>
          <w:szCs w:val="20"/>
        </w:rPr>
        <w:t xml:space="preserve">খ)</w:t>
      </w:r>
      <w:r>
        <w:rPr>
          <w:rFonts w:ascii="Kalpurush" w:cs="Kalpurush" w:eastAsia="Kalpurush" w:hAnsi="Kalpurush"/>
          <w:sz w:val="20"/>
          <w:szCs w:val="20"/>
        </w:rPr>
        <w:t xml:space="preserve"> SA ২৩৮ নং খতিয়ানের ভিত্তিতে আপীল্যান্টদের দাবিকৃত সহ-অংশ (co-shares) নির্ধারণ করিয়া partition proceeding অগ্রসর করিবার নির্দেশ প্রদান করা হউক;</w:t>
      </w:r>
    </w:p>
    <w:p>
      <w:r>
        <w:rPr>
          <w:rFonts w:ascii="Kalpurush" w:cs="Kalpurush" w:eastAsia="Kalpurush" w:hAnsi="Kalpurush"/>
        </w:rPr>
        <w:t xml:space="preserve"/>
      </w:r>
    </w:p>
    <w:p>
      <w:r>
        <w:rPr>
          <w:rFonts w:ascii="Kalpurush" w:cs="Kalpurush" w:eastAsia="Kalpurush" w:hAnsi="Kalpurush"/>
          <w:b/>
          <w:bCs/>
          <w:sz w:val="20"/>
          <w:szCs w:val="20"/>
        </w:rPr>
        <w:t xml:space="preserve">গ)</w:t>
      </w:r>
      <w:r>
        <w:rPr>
          <w:rFonts w:ascii="Kalpurush" w:cs="Kalpurush" w:eastAsia="Kalpurush" w:hAnsi="Kalpurush"/>
          <w:sz w:val="20"/>
          <w:szCs w:val="20"/>
        </w:rPr>
        <w:t xml:space="preserve"> প্রয়োজনে একজন বিজ্ঞ Advocate Commissioner নিয়োগ করিয়া শুধুমাত্র SA ২৩৮-ভুক্ত সম্পত্তির অংশ সরেজমিনে নির্ধারণ ও বণ্টনের ব্যবস্থা করা হউক, পৃথক Government khatian-এর জমিতে কোনো হস্তক্ষেপ না করিয়া; এবং</w:t>
      </w:r>
    </w:p>
    <w:p>
      <w:r>
        <w:rPr>
          <w:rFonts w:ascii="Kalpurush" w:cs="Kalpurush" w:eastAsia="Kalpurush" w:hAnsi="Kalpurush"/>
        </w:rPr>
        <w:t xml:space="preserve"/>
      </w:r>
    </w:p>
    <w:p>
      <w:r>
        <w:rPr>
          <w:rFonts w:ascii="Kalpurush" w:cs="Kalpurush" w:eastAsia="Kalpurush" w:hAnsi="Kalpurush"/>
          <w:b/>
          <w:bCs/>
          <w:sz w:val="20"/>
          <w:szCs w:val="20"/>
        </w:rPr>
        <w:t xml:space="preserve">ঘ)</w:t>
      </w:r>
      <w:r>
        <w:rPr>
          <w:rFonts w:ascii="Kalpurush" w:cs="Kalpurush" w:eastAsia="Kalpurush" w:hAnsi="Kalpurush"/>
          <w:sz w:val="20"/>
          <w:szCs w:val="20"/>
        </w:rPr>
        <w:t xml:space="preserve"> সার্বিক ন্যায়বিচারের স্বার্থে আপীল মঞ্জুর করা হউক।</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সংক্ষিপ্ত আইনি নজিরের রূপরেখা (Core Authorities Index)</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Kalpurush" w:cs="Kalpurush" w:eastAsia="Kalpurush" w:hAnsi="Kalpurush"/>
                <w:sz w:val="20"/>
                <w:szCs w:val="20"/>
              </w:rPr>
              <w:t xml:space="preserve">নজির</w:t>
            </w:r>
          </w:p>
        </w:tc>
        <w:tc>
          <w:p>
            <w:r>
              <w:rPr>
                <w:rFonts w:ascii="Kalpurush" w:cs="Kalpurush" w:eastAsia="Kalpurush" w:hAnsi="Kalpurush"/>
                <w:sz w:val="20"/>
                <w:szCs w:val="20"/>
              </w:rPr>
              <w:t xml:space="preserve">মূল আইনি নীতি</w:t>
            </w:r>
          </w:p>
        </w:tc>
      </w:tr>
      <w:tr>
        <w:tc>
          <w:p>
            <w:r>
              <w:rPr>
                <w:rFonts w:ascii="Kalpurush" w:cs="Kalpurush" w:eastAsia="Kalpurush" w:hAnsi="Kalpurush"/>
                <w:b/>
                <w:bCs/>
                <w:sz w:val="20"/>
                <w:szCs w:val="20"/>
              </w:rPr>
              <w:t xml:space="preserve">50 DLR 186</w:t>
            </w:r>
          </w:p>
        </w:tc>
        <w:tc>
          <w:p>
            <w:r>
              <w:rPr>
                <w:rFonts w:ascii="Kalpurush" w:cs="Kalpurush" w:eastAsia="Kalpurush" w:hAnsi="Kalpurush"/>
                <w:sz w:val="20"/>
                <w:szCs w:val="20"/>
              </w:rPr>
              <w:t xml:space="preserve">Finally published SA record carries presumption of correctness, rebuttable only by reliable evidence.</w:t>
            </w:r>
          </w:p>
        </w:tc>
      </w:tr>
      <w:tr>
        <w:tc>
          <w:p>
            <w:r>
              <w:rPr>
                <w:rFonts w:ascii="Kalpurush" w:cs="Kalpurush" w:eastAsia="Kalpurush" w:hAnsi="Kalpurush"/>
                <w:b/>
                <w:bCs/>
                <w:sz w:val="20"/>
                <w:szCs w:val="20"/>
              </w:rPr>
              <w:t xml:space="preserve">56 DLR (AD) 53</w:t>
            </w:r>
          </w:p>
        </w:tc>
        <w:tc>
          <w:p>
            <w:r>
              <w:rPr>
                <w:rFonts w:ascii="Kalpurush" w:cs="Kalpurush" w:eastAsia="Kalpurush" w:hAnsi="Kalpurush"/>
                <w:sz w:val="20"/>
                <w:szCs w:val="20"/>
              </w:rPr>
              <w:t xml:space="preserve">Record of Rights-এর evidentiary presumption সম্পর্কিত আপীল বিভাগের সিদ্ধান্ত।</w:t>
            </w:r>
          </w:p>
        </w:tc>
      </w:tr>
      <w:tr>
        <w:tc>
          <w:p>
            <w:r>
              <w:rPr>
                <w:rFonts w:ascii="Kalpurush" w:cs="Kalpurush" w:eastAsia="Kalpurush" w:hAnsi="Kalpurush"/>
                <w:b/>
                <w:bCs/>
                <w:sz w:val="20"/>
                <w:szCs w:val="20"/>
              </w:rPr>
              <w:t xml:space="preserve">10 BLT (AD) 105; 45 DLR (AD) 124</w:t>
            </w:r>
          </w:p>
        </w:tc>
        <w:tc>
          <w:p>
            <w:r>
              <w:rPr>
                <w:rFonts w:ascii="Kalpurush" w:cs="Kalpurush" w:eastAsia="Kalpurush" w:hAnsi="Kalpurush"/>
                <w:sz w:val="20"/>
                <w:szCs w:val="20"/>
              </w:rPr>
              <w:t xml:space="preserve">Burden of proving error lies on the challenger; plaintiff cannot be asked to prove a negative.</w:t>
            </w:r>
          </w:p>
        </w:tc>
      </w:tr>
      <w:tr>
        <w:tc>
          <w:p>
            <w:r>
              <w:rPr>
                <w:rFonts w:ascii="Kalpurush" w:cs="Kalpurush" w:eastAsia="Kalpurush" w:hAnsi="Kalpurush"/>
                <w:b/>
                <w:bCs/>
                <w:sz w:val="20"/>
                <w:szCs w:val="20"/>
              </w:rPr>
              <w:t xml:space="preserve">53 DLR 19</w:t>
            </w:r>
          </w:p>
        </w:tc>
        <w:tc>
          <w:p>
            <w:r>
              <w:rPr>
                <w:rFonts w:ascii="Kalpurush" w:cs="Kalpurush" w:eastAsia="Kalpurush" w:hAnsi="Kalpurush"/>
                <w:sz w:val="20"/>
                <w:szCs w:val="20"/>
              </w:rPr>
              <w:t xml:space="preserve">Mutation/Volume note carries no independent presumptive value without parent order.</w:t>
            </w:r>
          </w:p>
        </w:tc>
      </w:tr>
      <w:tr>
        <w:tc>
          <w:p>
            <w:r>
              <w:rPr>
                <w:rFonts w:ascii="Kalpurush" w:cs="Kalpurush" w:eastAsia="Kalpurush" w:hAnsi="Kalpurush"/>
                <w:b/>
                <w:bCs/>
                <w:sz w:val="20"/>
                <w:szCs w:val="20"/>
              </w:rPr>
              <w:t xml:space="preserve">1 BLT (HD) 18</w:t>
            </w:r>
          </w:p>
        </w:tc>
        <w:tc>
          <w:p>
            <w:r>
              <w:rPr>
                <w:rFonts w:ascii="Kalpurush" w:cs="Kalpurush" w:eastAsia="Kalpurush" w:hAnsi="Kalpurush"/>
                <w:sz w:val="20"/>
                <w:szCs w:val="20"/>
              </w:rPr>
              <w:t xml:space="preserve">Entry in different ink/handwriting without parent judicial order sheet is invalid.</w:t>
            </w:r>
          </w:p>
        </w:tc>
      </w:tr>
      <w:tr>
        <w:tc>
          <w:p>
            <w:r>
              <w:rPr>
                <w:rFonts w:ascii="Kalpurush" w:cs="Kalpurush" w:eastAsia="Kalpurush" w:hAnsi="Kalpurush"/>
                <w:b/>
                <w:bCs/>
                <w:sz w:val="20"/>
                <w:szCs w:val="20"/>
              </w:rPr>
              <w:t xml:space="preserve">27 BLD (HD) 544</w:t>
            </w:r>
          </w:p>
        </w:tc>
        <w:tc>
          <w:p>
            <w:r>
              <w:rPr>
                <w:rFonts w:ascii="Kalpurush" w:cs="Kalpurush" w:eastAsia="Kalpurush" w:hAnsi="Kalpurush"/>
                <w:sz w:val="20"/>
                <w:szCs w:val="20"/>
              </w:rPr>
              <w:t xml:space="preserve">Summary/Miscellaneous proceeding cannot adjudicate substantive civil title.</w:t>
            </w:r>
          </w:p>
        </w:tc>
      </w:tr>
      <w:tr>
        <w:tc>
          <w:p>
            <w:r>
              <w:rPr>
                <w:rFonts w:ascii="Kalpurush" w:cs="Kalpurush" w:eastAsia="Kalpurush" w:hAnsi="Kalpurush"/>
                <w:b/>
                <w:bCs/>
                <w:sz w:val="20"/>
                <w:szCs w:val="20"/>
              </w:rPr>
              <w:t xml:space="preserve">12 BLC (AD) 79</w:t>
            </w:r>
          </w:p>
        </w:tc>
        <w:tc>
          <w:p>
            <w:r>
              <w:rPr>
                <w:rFonts w:ascii="Kalpurush" w:cs="Kalpurush" w:eastAsia="Kalpurush" w:hAnsi="Kalpurush"/>
                <w:sz w:val="20"/>
                <w:szCs w:val="20"/>
              </w:rPr>
              <w:t xml:space="preserve">Court of Wards/Nawab Estate settlement without Chief Manager's approval is void ab initio.</w:t>
            </w:r>
          </w:p>
        </w:tc>
      </w:tr>
      <w:tr>
        <w:tc>
          <w:p>
            <w:r>
              <w:rPr>
                <w:rFonts w:ascii="Kalpurush" w:cs="Kalpurush" w:eastAsia="Kalpurush" w:hAnsi="Kalpurush"/>
                <w:b/>
                <w:bCs/>
                <w:sz w:val="20"/>
                <w:szCs w:val="20"/>
              </w:rPr>
              <w:t xml:space="preserve">4 SCOB [2015] HCD 52</w:t>
            </w:r>
          </w:p>
        </w:tc>
        <w:tc>
          <w:p>
            <w:r>
              <w:rPr>
                <w:rFonts w:ascii="Kalpurush" w:cs="Kalpurush" w:eastAsia="Kalpurush" w:hAnsi="Kalpurush"/>
                <w:sz w:val="20"/>
                <w:szCs w:val="20"/>
              </w:rPr>
              <w:t xml:space="preserve">Unregistered patta rights extinguished after State Acquisition under Section 86 SAT Act.</w:t>
            </w:r>
          </w:p>
        </w:tc>
      </w:tr>
      <w:tr>
        <w:tc>
          <w:p>
            <w:r>
              <w:rPr>
                <w:rFonts w:ascii="Kalpurush" w:cs="Kalpurush" w:eastAsia="Kalpurush" w:hAnsi="Kalpurush"/>
                <w:b/>
                <w:bCs/>
                <w:sz w:val="20"/>
                <w:szCs w:val="20"/>
              </w:rPr>
              <w:t xml:space="preserve">18 SCOB [2023] AD 20</w:t>
            </w:r>
          </w:p>
        </w:tc>
        <w:tc>
          <w:p>
            <w:r>
              <w:rPr>
                <w:rFonts w:ascii="Kalpurush" w:cs="Kalpurush" w:eastAsia="Kalpurush" w:hAnsi="Kalpurush"/>
                <w:sz w:val="20"/>
                <w:szCs w:val="20"/>
              </w:rPr>
              <w:t xml:space="preserve">Administrative/procured entry cannot override established title.</w:t>
            </w:r>
          </w:p>
        </w:tc>
      </w:tr>
      <w:tr>
        <w:tc>
          <w:p>
            <w:r>
              <w:rPr>
                <w:rFonts w:ascii="Kalpurush" w:cs="Kalpurush" w:eastAsia="Kalpurush" w:hAnsi="Kalpurush"/>
                <w:b/>
                <w:bCs/>
                <w:sz w:val="20"/>
                <w:szCs w:val="20"/>
              </w:rPr>
              <w:t xml:space="preserve">49 DLR (AD) 15; 27 BLD 229</w:t>
            </w:r>
          </w:p>
        </w:tc>
        <w:tc>
          <w:p>
            <w:r>
              <w:rPr>
                <w:rFonts w:ascii="Kalpurush" w:cs="Kalpurush" w:eastAsia="Kalpurush" w:hAnsi="Kalpurush"/>
                <w:sz w:val="20"/>
                <w:szCs w:val="20"/>
              </w:rPr>
              <w:t xml:space="preserve">Private partition suit does not fail for non-joinder of Govt; separate khatian creates separate tenancy.</w:t>
            </w:r>
          </w:p>
        </w:tc>
      </w:tr>
    </w:tbl>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আপীল্যান্টগণের পক্ষে বিজ্ঞ কৌসুলি | জেলা জজ আদালত, টাঙ্গাইল | আপীল মামলা নং ৩৮/২০২৬</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2026-08-15T06:06:48.541Z</dcterms:created>
  <dcterms:modified xsi:type="dcterms:W3CDTF">2026-08-15T06:06:48.541Z</dcterms:modified>
</cp:coreProperties>
</file>

<file path=docProps/custom.xml><?xml version="1.0" encoding="utf-8"?>
<Properties xmlns="http://schemas.openxmlformats.org/officeDocument/2006/custom-properties" xmlns:vt="http://schemas.openxmlformats.org/officeDocument/2006/docPropsVTypes"/>
</file>