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75 — Court-Safe, Record-Strict Hearing Aid &amp; Summary)</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 (5-Minute Oral Presentation Roadmap)</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 &amp; Starting Point):</w:t>
      </w:r>
    </w:p>
    <w:p>
      <w:pPr>
        <w:ind w:left="720"/>
      </w:pPr>
      <w:r>
        <w:rPr>
          <w:rFonts w:ascii="Kalpurush" w:cs="Kalpurush" w:eastAsia="Kalpurush" w:hAnsi="Kalpurush"/>
          <w:i/>
          <w:iCs/>
          <w:sz w:val="20"/>
          <w:szCs w:val="20"/>
        </w:rPr>
        <w:t xml:space="preserve">*"মহামান্য আদালত, এই আপীলের নিষ্পত্তির জন্য ১৯৩৪ সালের কথিত পত্তনের সম্পূর্ণ ইতিহাস পুনর্গঠন করা আবশ্যক নয়। বর্তমান বিরোধের প্রকৃত কেন্দ্রবিন্দু হলো — রাষ্ট্রের চূড়ান্তভাবে প্রকাশিত SA ২৩৮ নং খতিয়ান, যেখানে আব্দুল আলী ১৬ আনা একক রায়ত হিসেবে রেকর্ডভুক্ত, সেটি পরবর্তীকালে আইনসম্মতভাবে কীভাবে এবং কোন প্রমাণের ভিত্তিতে পরাস্ত হয়েছে। আমাদের বিনীত বক্তব্য খুব সরল: যে পক্ষ একটি চূড়ান্ত প্রকাশিত Record of Rights-কে ভুল বা সংশোধিত দাবি করে, সেই দাবির দালিলিক ভিত্তি প্রমাণের প্রাথমিক দায়িত্ব তাহারই।"*</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Statutory Presumption &amp; Legal Formulation):</w:t>
      </w:r>
    </w:p>
    <w:p>
      <w:pPr>
        <w:ind w:left="720"/>
      </w:pPr>
      <w:r>
        <w:rPr>
          <w:rFonts w:ascii="Kalpurush" w:cs="Kalpurush" w:eastAsia="Kalpurush" w:hAnsi="Kalpurush"/>
          <w:i/>
          <w:iCs/>
          <w:sz w:val="20"/>
          <w:szCs w:val="20"/>
        </w:rPr>
        <w:t xml:space="preserve">*"আমরা বলছি না SA খতিয়ান কোনো অবস্থাতেই ভুল হতে পারে না। সংবিধিবদ্ধ বিধান ও নজির অনুযায়ী Record of Rights-এর presumption হলো rebuttable; কিন্তু সেই অনুমান খণ্ডন করতে হলে challenger-কে নির্ভরযোগ্য ও সুনির্দিষ্ট দালিলিক সাক্ষ্য (reliable evidence) উপস্থাপন করতে হবে — কেবল মৌখিক দাবি যথেষ্ট নয় (Evidence Act, Section 103; 50 DLR 186; 56 DLR (AD) 53)। বাদীপক্ষ সইমোহরি SA ২৩৮ খতিয়ান দাখিল করে প্রাথমিক দায়িত্ব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তৃতীয় মিনিট (The Missing Foundation of Defence):</w:t>
      </w:r>
    </w:p>
    <w:p>
      <w:pPr>
        <w:ind w:left="720"/>
      </w:pPr>
      <w:r>
        <w:rPr>
          <w:rFonts w:ascii="Kalpurush" w:cs="Kalpurush" w:eastAsia="Kalpurush" w:hAnsi="Kalpurush"/>
          <w:i/>
          <w:iCs/>
          <w:sz w:val="20"/>
          <w:szCs w:val="20"/>
        </w:rPr>
        <w:t xml:space="preserve">*"বিবাদীপক্ষের দাবি দাঁড়াইয়া আছে দুইটি তথ্যের উপর: (১) ১৯৩৪ সালের কথিত root tenancy, এবং (২) ১৯৬৯ সালের কথিত ১১৮১ নং Misc Case। অথচ বিচারিক নথিতে মূল পাট্টা বা কবুলিয়ত নাই, এবং কথিত Misc Case-এর আরজি, রায়, ডিক্রি, আদেশনামা বা সইমোহরি কপি — কিছুই দাখিল করা হয় নাই। এমনকি বিবাদীরা মূল রেকর্ডও তলব করান নাই। মূল বিচারিক আদেশ অপ্রমাণিত থাকিলে সহকারী কমিশনার (ভূমি) অফিসের একটি ব্যাখ্যাহীন ভলিউম নোট নিজে থেকে স্বত্ব সৃষ্টি 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Material Documentary Contradiction — 1975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এই দলিল কোনো জালিয়াতির অভিযোগ নয়; এটি একটি গুরুতর দালিলিক স্ববিরোধিতা, যা বিবাদীদের কথিত সংশোধনের ধারণাকে আদালতসমক্ষে মারাত্মকভাবে দুর্বল ও অকার্যকর করে।"*</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Trial Court Errors &amp; Prayer):</w:t>
      </w:r>
    </w:p>
    <w:p>
      <w:pPr>
        <w:ind w:left="720"/>
      </w:pPr>
      <w:r>
        <w:rPr>
          <w:rFonts w:ascii="Kalpurush" w:cs="Kalpurush" w:eastAsia="Kalpurush" w:hAnsi="Kalpurush"/>
          <w:i/>
          <w:iCs/>
          <w:sz w:val="20"/>
          <w:szCs w:val="20"/>
        </w:rPr>
        <w:t xml:space="preserve">*"বিজ্ঞ বিচারিক আদালত চারটি মৌলিক ভুল করিয়াছেন: (১) মূল প্রজা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নিম্ন আদালতের ০৫-০৪-২০২৬ তারিখের খারিজ রায় বাতিল করিয়া বাদীদের অনুকূলে প্রাথমিক ডিক্রি (Preliminary Decree) প্রদান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আব্দুল আলীর নামে একক ও অপরিবর্তিত SA ২৩৮ নং খতিয়ান — কি একটি অপ্রমাণিত Misc Case, সখিপুর AC Land অফিসের তলবি ভলিউমে ভিন্ন কালিতে লেখা একটি ত্রুটিপূর্ণ মার্জিন নোট এবং বিবাদীদের নিজেদের রেজিস্ট্রিকৃত দলিলের সাথে সাংঘর্ষিক মৌখিক দাবি দ্বারা পরাজিত হইতে পারে?"</w:t>
      </w:r>
    </w:p>
    <w:p>
      <w:pPr>
        <w:ind w:left="720"/>
      </w:pPr>
    </w:p>
    <w:p>
      <w:pPr>
        <w:ind w:left="720"/>
      </w:pPr>
      <w:r>
        <w:rPr>
          <w:rFonts w:ascii="Kalpurush" w:cs="Kalpurush" w:eastAsia="Kalpurush" w:hAnsi="Kalpurush"/>
          <w:b/>
          <w:bCs/>
          <w:i/>
          <w:iCs/>
          <w:sz w:val="20"/>
          <w:szCs w:val="20"/>
        </w:rPr>
        <w:t xml:space="preserve">আমাদের বিনীত উত্তর — "কখনোই পারে না।"</w:t>
      </w:r>
    </w:p>
    <w:p>
      <w:pPr>
        <w:ind w:left="720"/>
      </w:pP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৪টি সুদৃঢ় সংবিধিবদ্ধ প্রস্তাবনা (The 4 Principal Propositions)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চিফ ম্যানেজারের অনুমোদনপত্র আদালতে দাখিল হয় নাই।</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SA Presumption Rebuttable but Unrebutted:</w:t>
      </w:r>
      <w:r>
        <w:rPr>
          <w:rFonts w:ascii="Kalpurush" w:cs="Kalpurush" w:eastAsia="Kalpurush" w:hAnsi="Kalpurush"/>
          <w:sz w:val="20"/>
          <w:szCs w:val="20"/>
        </w:rPr>
        <w:t xml:space="preserve"> জেলা রেকর্ড রুমে ৫০ বছর অপরিবর্তিত SA ২৩৮ খতিয়ান (আব্দুল আলী ১৬ আনা প্রজা) SAT Act s. 144A অনুযায়ী সংবিধিবদ্ধ অনুমানের অধিকারী; reliable evidence ছাড়া তা খণ্ডন করা যায় 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১৯৬৯ সালের ১১৮১ নং Misc Case-এর কোনো Judgment, Order, Decree বা Certified Copy নাই; আদেশের অনুপস্থিতিতে ভলিউম নোট নিজে থেকে স্বত্ব প্রমাণ করিতে পারে না।</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বিবাদীদের তলবকৃত AC Land ভলিউম ও জেরার বক্তব্যে SA ২৩৮ খতিয়ানে কেবল ১টি দাগের (১২৫৯ দাগ) কথা বলা হইলেও, তাহাদের নিজেদের রেজিস্ট্রিকৃত ৩৫৯৬/১৯৭৫ নং দলিলে (Exh Kha-1) SA ২৩৮-এ ৬টি দাগ বর্ণিত, যা তাহাদের দাবির ভিত্তিমূল দুর্বল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নং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রাষ্ট্রের চূড়ান্ত প্রকাশিত সংবিধিবদ্ধ রেকর্ড; Settlement Record Room-এ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রেজিস্ট্রেশন ও স্বত্ব/দখলের সমর্থন</w:t>
            </w:r>
          </w:p>
        </w:tc>
        <w:tc>
          <w:p>
            <w:r>
              <w:rPr>
                <w:rFonts w:ascii="Kalpurush" w:cs="Kalpurush" w:eastAsia="Kalpurush" w:hAnsi="Kalpurush"/>
                <w:sz w:val="20"/>
                <w:szCs w:val="20"/>
              </w:rPr>
              <w:t xml:space="preserve">SA অপারেশনের সমসাময়িক দলিল; SA ২৩৮-এর অন্তর্ভুক্ত জমির সমর্থনকারী প্রমাণ</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প্রাতিষ্ঠানিক স্থিতি</w:t>
            </w:r>
          </w:p>
        </w:tc>
        <w:tc>
          <w:p>
            <w:r>
              <w:rPr>
                <w:rFonts w:ascii="Kalpurush" w:cs="Kalpurush" w:eastAsia="Kalpurush" w:hAnsi="Kalpurush"/>
                <w:sz w:val="20"/>
                <w:szCs w:val="20"/>
              </w:rPr>
              <w:t xml:space="preserve">কোনো Alteration Entry নাই; মূল রেকর্ড অক্ষত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বিবাদীদের প্রতিরক্ষার ৩টি শূন্যতা (Evidentiary Gaps of Defence)</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বিবাদীদের দাবি</w:t>
            </w:r>
          </w:p>
        </w:tc>
        <w:tc>
          <w:p>
            <w:r>
              <w:rPr>
                <w:rFonts w:ascii="Kalpurush" w:cs="Kalpurush" w:eastAsia="Kalpurush" w:hAnsi="Kalpurush"/>
                <w:sz w:val="20"/>
                <w:szCs w:val="20"/>
              </w:rPr>
              <w:t xml:space="preserve">আদালতে উপস্থাপিত প্রমাণ</w:t>
            </w:r>
          </w:p>
        </w:tc>
        <w:tc>
          <w:p>
            <w:r>
              <w:rPr>
                <w:rFonts w:ascii="Kalpurush" w:cs="Kalpurush" w:eastAsia="Kalpurush" w:hAnsi="Kalpurush"/>
                <w:sz w:val="20"/>
                <w:szCs w:val="20"/>
              </w:rPr>
              <w:t xml:space="preserve">আইনি ফলাফল</w:t>
            </w:r>
          </w:p>
        </w:tc>
      </w:tr>
      <w:tr>
        <w:tc>
          <w:p>
            <w:r>
              <w:rPr>
                <w:rFonts w:ascii="Kalpurush" w:cs="Kalpurush" w:eastAsia="Kalpurush" w:hAnsi="Kalpurush"/>
                <w:sz w:val="20"/>
                <w:szCs w:val="20"/>
              </w:rPr>
              <w:t xml:space="preserve">১৯৩৪ সালের পত্তন</w:t>
            </w:r>
          </w:p>
        </w:tc>
        <w:tc>
          <w:p>
            <w:r>
              <w:rPr>
                <w:rFonts w:ascii="Kalpurush" w:cs="Kalpurush" w:eastAsia="Kalpurush" w:hAnsi="Kalpurush"/>
                <w:sz w:val="20"/>
                <w:szCs w:val="20"/>
              </w:rPr>
              <w:t xml:space="preserve">নাই (অনিবন্ধিত, পাট্টা/কবুলিয়ত নাই)</w:t>
            </w:r>
          </w:p>
        </w:tc>
        <w:tc>
          <w:p>
            <w:r>
              <w:rPr>
                <w:rFonts w:ascii="Kalpurush" w:cs="Kalpurush" w:eastAsia="Kalpurush" w:hAnsi="Kalpurush"/>
                <w:sz w:val="20"/>
                <w:szCs w:val="20"/>
              </w:rPr>
              <w:t xml:space="preserve">SAT Act s.86-তে বিলুপ্ত (4 SCOB 2015 HCD 52; 12 BLC (AD) 79)</w:t>
            </w:r>
          </w:p>
        </w:tc>
      </w:tr>
      <w:tr>
        <w:tc>
          <w:p>
            <w:r>
              <w:rPr>
                <w:rFonts w:ascii="Kalpurush" w:cs="Kalpurush" w:eastAsia="Kalpurush" w:hAnsi="Kalpurush"/>
                <w:sz w:val="20"/>
                <w:szCs w:val="20"/>
              </w:rPr>
              <w:t xml:space="preserve">Misc Case 1181/1969</w:t>
            </w:r>
          </w:p>
        </w:tc>
        <w:tc>
          <w:p>
            <w:r>
              <w:rPr>
                <w:rFonts w:ascii="Kalpurush" w:cs="Kalpurush" w:eastAsia="Kalpurush" w:hAnsi="Kalpurush"/>
                <w:sz w:val="20"/>
                <w:szCs w:val="20"/>
              </w:rPr>
              <w:t xml:space="preserve">Order Sheet, Judgment, Decree — কিছুই নাই</w:t>
            </w:r>
          </w:p>
        </w:tc>
        <w:tc>
          <w:p>
            <w:r>
              <w:rPr>
                <w:rFonts w:ascii="Kalpurush" w:cs="Kalpurush" w:eastAsia="Kalpurush" w:hAnsi="Kalpurush"/>
                <w:sz w:val="20"/>
                <w:szCs w:val="20"/>
              </w:rPr>
              <w:t xml:space="preserve">প্রমাণের ব্যর্থতা (Evidence Act s.103; 27 BLD 544)</w:t>
            </w:r>
          </w:p>
        </w:tc>
      </w:tr>
      <w:tr>
        <w:tc>
          <w:p>
            <w:r>
              <w:rPr>
                <w:rFonts w:ascii="Kalpurush" w:cs="Kalpurush" w:eastAsia="Kalpurush" w:hAnsi="Kalpurush"/>
                <w:sz w:val="20"/>
                <w:szCs w:val="20"/>
              </w:rPr>
              <w:t xml:space="preserve">AC Land Volume Note</w:t>
            </w:r>
          </w:p>
        </w:tc>
        <w:tc>
          <w:p>
            <w:r>
              <w:rPr>
                <w:rFonts w:ascii="Kalpurush" w:cs="Kalpurush" w:eastAsia="Kalpurush" w:hAnsi="Kalpurush"/>
                <w:sz w:val="20"/>
                <w:szCs w:val="20"/>
              </w:rPr>
              <w:t xml:space="preserve">ভিন্ন কালিতে লেখা — DW-4 কারণ জানেন না</w:t>
            </w:r>
          </w:p>
        </w:tc>
        <w:tc>
          <w:p>
            <w:r>
              <w:rPr>
                <w:rFonts w:ascii="Kalpurush" w:cs="Kalpurush" w:eastAsia="Kalpurush" w:hAnsi="Kalpurush"/>
                <w:sz w:val="20"/>
                <w:szCs w:val="20"/>
              </w:rPr>
              <w:t xml:space="preserve">Parent order নাই $\rightarrow$ স্বত্ব প্রমাণে অকার্যকর (53 DLR 19)</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বোনদের (বেলুয়া ও কমলা)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প্রমাণ করে কথিত সংশোধনের দাবি স্বাভাবিক উত্তরাধিকারের সাথে সামঞ্জস্যপূর্ণ নয়।"*</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শীর্ষ ১০টি কোর সুপ্রিমেটিক নজির (Core Authorities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মূল আইনি নীতি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50 DLR 186</w:t>
            </w:r>
          </w:p>
        </w:tc>
        <w:tc>
          <w:p>
            <w:r>
              <w:rPr>
                <w:rFonts w:ascii="Kalpurush" w:cs="Kalpurush" w:eastAsia="Kalpurush" w:hAnsi="Kalpurush"/>
                <w:sz w:val="20"/>
                <w:szCs w:val="20"/>
              </w:rPr>
              <w:t xml:space="preserve">SA খতিয়ানের statutory presumption under Sec 144A নির্ভরযোগ্য প্রমাণ ছাড়া খণ্ডন হয় না।</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56 DLR (AD) 53</w:t>
            </w:r>
          </w:p>
        </w:tc>
        <w:tc>
          <w:p>
            <w:r>
              <w:rPr>
                <w:rFonts w:ascii="Kalpurush" w:cs="Kalpurush" w:eastAsia="Kalpurush" w:hAnsi="Kalpurush"/>
                <w:sz w:val="20"/>
                <w:szCs w:val="20"/>
              </w:rPr>
              <w:t xml:space="preserve">Record of Rights-এর evidentiary presumption সম্পর্কিত আপীল বিভাগের সিদ্ধান্ত।</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proof সম্পূর্ণভাবে খতিয়ান চ্যালেঞ্জকারীর উপর; বাদীর উপর নেতিবাচক প্রমাণ চাপানো বেআইনি।</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53 DLR 19</w:t>
            </w:r>
          </w:p>
        </w:tc>
        <w:tc>
          <w:p>
            <w:r>
              <w:rPr>
                <w:rFonts w:ascii="Kalpurush" w:cs="Kalpurush" w:eastAsia="Kalpurush" w:hAnsi="Kalpurush"/>
                <w:sz w:val="20"/>
                <w:szCs w:val="20"/>
              </w:rPr>
              <w:t xml:space="preserve">Parent Order ছাড়া 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1 BLT (HD) 18</w:t>
            </w:r>
          </w:p>
        </w:tc>
        <w:tc>
          <w:p>
            <w:r>
              <w:rPr>
                <w:rFonts w:ascii="Kalpurush" w:cs="Kalpurush" w:eastAsia="Kalpurush" w:hAnsi="Kalpurush"/>
                <w:sz w:val="20"/>
                <w:szCs w:val="20"/>
              </w:rPr>
              <w:t xml:space="preserve">ভিন্ন কালিতে লেখা ভলিউম এন্ট্রি মূল বিচারিক আদেশ ছাড়া কার্যকর নয়।</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Summary/Miscellaneous proceeding-এ substantive civil title adjudicate করা যায় না।</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Court of Wards/Nawab Estate settlement Chief Manager approval ছাড়া void ab initio।</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অনিবন্ধিত পত্তন SAT Act-এর ধারা ৮৬-তে রাষ্ট্রীয় অধিগ্রহণে বিলুপ্ত।</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প্রশাসনিক রেকর্ড এন্ট্রি প্রতিষ্ঠিত স্বত্ব override করতে পারে না।</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49 DLR (AD) 15; 27 BLD 229</w:t>
            </w:r>
          </w:p>
        </w:tc>
        <w:tc>
          <w:p>
            <w:r>
              <w:rPr>
                <w:rFonts w:ascii="Kalpurush" w:cs="Kalpurush" w:eastAsia="Kalpurush" w:hAnsi="Kalpurush"/>
                <w:sz w:val="20"/>
                <w:szCs w:val="20"/>
              </w:rPr>
              <w:t xml:space="preserve">সরকার ব্যক্তিমালিকানাধীন বাটোয়ারায় necessary party নহে; পৃথক খতিয়ানে hotchpot defect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বিচারিক আবেদন (Master Closing Submissions)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 The respondents have failed to establish either the root tenancy or the parent order of the alleged correction. In these circumstances, the impugned judgment cannot be sustained in law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2026-08-15T06:06:48.578Z</dcterms:created>
  <dcterms:modified xsi:type="dcterms:W3CDTF">2026-08-15T06:06:48.578Z</dcterms:modified>
</cp:coreProperties>
</file>

<file path=docProps/custom.xml><?xml version="1.0" encoding="utf-8"?>
<Properties xmlns="http://schemas.openxmlformats.org/officeDocument/2006/custom-properties" xmlns:vt="http://schemas.openxmlformats.org/officeDocument/2006/docPropsVTypes"/>
</file>