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মাস্টার লিখিত যুক্তিতর্ক (Version 84 — Final Court-Ready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মহামান্য আদালতের উদ্দেশ্যে প্রারম্ভিক বক্তব্য ও রোডম্যাপ (Opening Address &amp; 5-Minute Roadmap)</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১৯৩৪ সালের কথিত পত্তনের সম্পূর্ণ ইতিহাস পুনর্গঠন করা আবশ্যক নহে। বর্তমান বিরোধের মূল প্রশ্ন হলো — রাষ্ট্রের চূড়ান্তভাবে প্রকাশিত SA ২৩৮ নং খতিয়ান, যেখানে আব্দুল আলী ১৬ আনা একক রায়ত হিসেবে রেকর্ডভুক্ত, সেটি পরবর্তীতে কোন বৈধ প্রক্রিয়া ও কোন নির্ভরযোগ্য প্রমাণের মাধ্যমে পরাস্ত হয়েছে।*</w:t>
      </w:r>
    </w:p>
    <w:p>
      <w:r>
        <w:rPr>
          <w:rFonts w:ascii="Kalpurush" w:cs="Kalpurush" w:eastAsia="Kalpurush" w:hAnsi="Kalpurush"/>
        </w:rPr>
        <w:t xml:space="preserve"/>
      </w:r>
    </w:p>
    <w:p>
      <w:r>
        <w:rPr>
          <w:rFonts w:ascii="Kalpurush" w:cs="Kalpurush" w:eastAsia="Kalpurush" w:hAnsi="Kalpurush"/>
          <w:sz w:val="20"/>
          <w:szCs w:val="20"/>
        </w:rPr>
        <w:t xml:space="preserve">*আমরা বলছি না যে একটি চূড়ান্ত প্রকাশিত SA Record কখনো ভুল হতে পারে না। আমরা বলছি — যে পক্ষ ইহাকে ভুল বা পরবর্তীতে সংশোধিত বলিতেছে, সেই পক্ষকে সেই দাবি নির্ভরযোগ্য প্রমাণ দ্বারা প্রতিষ্ঠা করিতে হইবে।*</w:t>
      </w:r>
    </w:p>
    <w:p>
      <w:r>
        <w:rPr>
          <w:rFonts w:ascii="Kalpurush" w:cs="Kalpurush" w:eastAsia="Kalpurush" w:hAnsi="Kalpurush"/>
        </w:rPr>
        <w:t xml:space="preserve"/>
      </w:r>
    </w:p>
    <w:p>
      <w:r>
        <w:rPr>
          <w:rFonts w:ascii="Kalpurush" w:cs="Kalpurush" w:eastAsia="Kalpurush" w:hAnsi="Kalpurush"/>
          <w:sz w:val="20"/>
          <w:szCs w:val="20"/>
        </w:rPr>
        <w:t xml:space="preserve">*The respondents are not merely challenging a record; they are asking the Court to accept an alleged legal event — correction of SA 238 — which they have not proved by the order that supposedly caused it, the official record that supposedly implemented it, or consistent subsequent documentary conduct.*</w:t>
      </w:r>
    </w:p>
    <w:p>
      <w:r>
        <w:rPr>
          <w:rFonts w:ascii="Kalpurush" w:cs="Kalpurush" w:eastAsia="Kalpurush" w:hAnsi="Kalpurush"/>
        </w:rPr>
        <w:t xml:space="preserve"/>
      </w:r>
    </w:p>
    <w:p>
      <w:r>
        <w:rPr>
          <w:rFonts w:ascii="Kalpurush" w:cs="Kalpurush" w:eastAsia="Kalpurush" w:hAnsi="Kalpurush"/>
          <w:sz w:val="20"/>
          <w:szCs w:val="20"/>
        </w:rPr>
        <w:t xml:space="preserve">*(বঙ্গানুবাদ: "বিবাদীপক্ষ কেবল একটি রেকর্ডকে চ্যালেঞ্জ করছে না; তারা আদালতকে এমন একটি কথিত আইনগত ঘটনা বিশ্বাস করতে বলছে — যার কারণে SA ২৩৮ সংশোধিত হয়েছিল — কিন্তু সেই ঘটনার মূল আদেশ, সরকারি বাস্তবায়ন এবং পরবর্তী সামঞ্জস্যপূর্ণ দলিলগত আচরণ — কোনোটিই তারা নির্ভরযোগ্যভাবে প্রমাণ করতে পারেনি।")*</w:t>
      </w:r>
    </w:p>
    <w:p>
      <w:r>
        <w:rPr>
          <w:rFonts w:ascii="Kalpurush" w:cs="Kalpurush" w:eastAsia="Kalpurush" w:hAnsi="Kalpurush"/>
        </w:rPr>
        <w:t xml:space="preserve"/>
      </w:r>
    </w:p>
    <w:p>
      <w:r>
        <w:rPr>
          <w:rFonts w:ascii="Kalpurush" w:cs="Kalpurush" w:eastAsia="Kalpurush" w:hAnsi="Kalpurush"/>
          <w:sz w:val="20"/>
          <w:szCs w:val="20"/>
        </w:rPr>
        <w:t xml:space="preserve">*অতএব এই আপীলের প্রকৃত প্রশ্ন 'SA ২৩৮ কি ভুল?' নয়।*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'প্রকৃত প্রশ্ন হলো — যিনি SA ২৩৮ ভুল বা সংশোধিত বলছেন, তিনি সেই ভুল বা correction-এর আইনগত source কোথায় প্রমাণ করেছেন?'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 — প্রয়োজনীয় primary and reliable documentary evidence সেখানে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শুনানিতে ৫ মিনিটের সরাসরি পাঠযোগ্য রোডম্যাপ (5-Minute Oral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Chronology):</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Record চূড়ান্তভাবে প্রকাশিত হয়। বর্তমানে জেলা Settlement Record Room-এ সংরক্ষিত সইমোহরি SA ২৩৮ record remains unchanged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implementation এবং সংশোধিত খতিয়ান — এই ছয়টির কোনো প্রাতিষ্ঠানিক প্রমাণ রেকর্ডে নাই।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বর্ণনা রহিয়াছে!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গুরুতর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রাজস্ব ভলিউম এন্ট্রিকে মূল রেকর্ড রুমের সংবিধিবদ্ধ রেকর্ডের উপরে স্থান দিয়েছেন, এবং (৪) নিজস্ব দলিলের গুরুতর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 বিজ্ঞ বিচারিক আদালতের খারিজ সিদ্ধান্তের সংক্ষিপ্ত রূপরেখা</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মূলত কয়েকটি ভুল ধারণার বশবর্তী হইয়া বাদীপক্ষের বাটোয়ারা মামলাটি খারিজ করিয়াছেন:*</w:t>
      </w:r>
    </w:p>
    <w:p>
      <w:r>
        <w:rPr>
          <w:rFonts w:ascii="Kalpurush" w:cs="Kalpurush" w:eastAsia="Kalpurush" w:hAnsi="Kalpurush"/>
          <w:sz w:val="20"/>
          <w:szCs w:val="20"/>
        </w:rPr>
        <w:t xml:space="preserve">*১. তিনি ধরে নিয়েছেন যে আব্দুল করিম ১৯৩৪ সালের কথিত পত্তনমূলে নালিশী জমির মূল রায়ত ছিলেন এবং উত্তরাধিকারসূত্রে সোনাভানু স্বত্ব লাভ করিয়াছেন — যদিও ইহার কোনো প্রাথমিক দালিলিক প্রমাণ রেকর্ডে দাখিল হয় নাই।*</w:t>
      </w:r>
    </w:p>
    <w:p>
      <w:r>
        <w:rPr>
          <w:rFonts w:ascii="Kalpurush" w:cs="Kalpurush" w:eastAsia="Kalpurush" w:hAnsi="Kalpurush"/>
          <w:sz w:val="20"/>
          <w:szCs w:val="20"/>
        </w:rPr>
        <w:t xml:space="preserve">*২. তিনি ধরে নিয়েছেন যে ১৯৬৯ সালের ১১৮১ নং Misc Case-এর মাধ্যমে SA ২৩৮ খতিয়ান সংশোধিত হইয়া সোনাভানুর স্বত্ব প্রতিষ্ঠিত হইয়াছে — যদিও উক্ত মামলার কোনো আদেশনামা, রায় বা ডিক্রি আদালতে দাখিল হয় নাই।*</w:t>
      </w:r>
    </w:p>
    <w:p>
      <w:r>
        <w:rPr>
          <w:rFonts w:ascii="Kalpurush" w:cs="Kalpurush" w:eastAsia="Kalpurush" w:hAnsi="Kalpurush"/>
          <w:sz w:val="20"/>
          <w:szCs w:val="20"/>
        </w:rPr>
        <w:t xml:space="preserve">*৩. তিনি সখিপুর AC Land অফিসের রাজস্ব ভলিউমে থাকা একটি ব্যাখ্যাহীন এন্ট্রির উপর নির্ভর করিয়া জেলা রেকর্ড রুমের চূড়ান্ত প্রকাশিত সংবিধিবদ্ধ রেকর্ডকে অপ্রমাণিত ধরে নিয়েছেন এবং একই দাগে সরকারি খাস জমি থাকাকে Hotchpot defect গণ্য করিয়াছেন।*</w:t>
      </w:r>
    </w:p>
    <w:p>
      <w:r>
        <w:rPr>
          <w:rFonts w:ascii="Kalpurush" w:cs="Kalpurush" w:eastAsia="Kalpurush" w:hAnsi="Kalpurush"/>
        </w:rPr>
        <w:t xml:space="preserve"/>
      </w:r>
    </w:p>
    <w:p>
      <w:r>
        <w:rPr>
          <w:rFonts w:ascii="Kalpurush" w:cs="Kalpurush" w:eastAsia="Kalpurush" w:hAnsi="Kalpurush"/>
          <w:sz w:val="20"/>
          <w:szCs w:val="20"/>
        </w:rPr>
        <w:t xml:space="preserve">*নিম্নে প্রতিটি সিদ্ধান্তের বিপরীতে দালিলিক ও আইনি খণ্ডন পেশ করিতেছি।"*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 SA ২৩৮ নং খতিয়ান: প্রারম্ভিক ভিত্তি ও ধারা ১৪৪A-এর সংবিধিবদ্ধ অনুমান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*বর্তমান মামলার বিচারিক সূচনা বিন্দু (Starting Point) হইল রাষ্ট্রের চূড়ান্তভাবে প্রকাশিত SA ২৩৮ নং খতিয়ান (প্রদর্শনী-৪)।*</w:t>
      </w:r>
    </w:p>
    <w:p>
      <w:r>
        <w:rPr>
          <w:rFonts w:ascii="Kalpurush" w:cs="Kalpurush" w:eastAsia="Kalpurush" w:hAnsi="Kalpurush"/>
        </w:rPr>
        <w:t xml:space="preserve"/>
      </w:r>
    </w:p>
    <w:p>
      <w:r>
        <w:rPr>
          <w:rFonts w:ascii="Kalpurush" w:cs="Kalpurush" w:eastAsia="Kalpurush" w:hAnsi="Kalpurush"/>
          <w:sz w:val="20"/>
          <w:szCs w:val="20"/>
        </w:rPr>
        <w:t xml:space="preserve">*আমরা বলছি না SA ২৩৮ নিজে title সৃষ্টি করেছে। আমরা বলছি — বর্তমান record অনুযায়ী রাষ্ট্রের final Record of Rights-এ আব্দুল আলীকে ১৬ আনা একক রায়ত হিসেবে record করা হয়েছে। SAT Act, 1950-এর Section 144A অনুযায়ী চূড়ান্তভাবে প্রকাশিত খতিয়ানের পেছনে সংবিধিবদ্ধ নির্ভুলতার অনুমান (Statutory Presumption of Correctness) বিদ্যমান। বাদীপক্ষ জেলা রেকর্ড রুমের সইমোহরি কপি দাখিল করিয়া স্বত্বের প্রাথমিক দালিলিক ভিত্তি সম্পূর্ণরূপে প্রতিষ্ঠিত করিয়াছে।*</w:t>
      </w:r>
    </w:p>
    <w:p>
      <w:r>
        <w:rPr>
          <w:rFonts w:ascii="Kalpurush" w:cs="Kalpurush" w:eastAsia="Kalpurush" w:hAnsi="Kalpurush"/>
        </w:rPr>
        <w:t xml:space="preserve"/>
      </w:r>
    </w:p>
    <w:p>
      <w:r>
        <w:rPr>
          <w:rFonts w:ascii="Kalpurush" w:cs="Kalpurush" w:eastAsia="Kalpurush" w:hAnsi="Kalpurush"/>
          <w:sz w:val="20"/>
          <w:szCs w:val="20"/>
        </w:rPr>
        <w:t xml:space="preserve">*এখানে মহামান্য আদালতের সদয় অবগতির জন্য সুপ্রিম কোর্টের সুপ্রতিষ্ঠিত সিদ্ধান্ত উদ্ধৃত করিতেছি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Assistant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pPr>
        <w:ind w:left="720"/>
      </w:pPr>
      <w:r>
        <w:rPr>
          <w:rFonts w:ascii="Kalpurush" w:cs="Kalpurush" w:eastAsia="Kalpurush" w:hAnsi="Kalpurush"/>
          <w:i/>
          <w:iCs/>
          <w:sz w:val="20"/>
          <w:szCs w:val="20"/>
        </w:rPr>
        <w:t xml:space="preserve">*(বঙ্গানুবাদ: "এস.এ.টি. আইনের ১৪৪A ধারার অধীনে চূড়ান্তভাবে প্রকাশিত ও সংশোধিত খতিয়ানের পেছনে সংবিধিবদ্ধ নির্ভুলতার অনুমান বিদ্যমান এবং নির্ভরযোগ্য সাক্ষ্য দ্বারা খণ্ডন না হওয়া পর্যন্ত সেই অনুমান অব্যাহত থাকে।")*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*"Records of rights prepared under the State Acquisition and Tenancy Act carry a statutory presumption of correctness which must be rebutted by positive and reliable evidence by the party asserting otherwise."*</w:t>
      </w:r>
    </w:p>
    <w:p>
      <w:pPr>
        <w:ind w:left="720"/>
      </w:pPr>
      <w:r>
        <w:rPr>
          <w:rFonts w:ascii="Kalpurush" w:cs="Kalpurush" w:eastAsia="Kalpurush" w:hAnsi="Kalpurush"/>
          <w:i/>
          <w:iCs/>
          <w:sz w:val="20"/>
          <w:szCs w:val="20"/>
        </w:rPr>
        <w:t xml:space="preserve">*(বঙ্গানুবাদ: "স্টেট একুইজিশন অ্যান্ড প্রজাস্বত্ব আইনের অধীনে প্রস্তুতকৃত খতিয়ান সংবিধিবদ্ধ নির্ভুলতার অনুমান বহন করে, যা বিপরীত দাবিদার পক্ষকে ইতিবাচক ও নির্ভরযোগ্য সাক্ষ্য দ্বারা খণ্ডন করতে হবে।")*</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 সুনির্দিষ্ট ও পরিমিত আইনি অবস্থান হইল:*</w:t>
      </w:r>
    </w:p>
    <w:p>
      <w:pPr>
        <w:ind w:left="720"/>
      </w:pPr>
      <w:r>
        <w:rPr>
          <w:rFonts w:ascii="Kalpurush" w:cs="Kalpurush" w:eastAsia="Kalpurush" w:hAnsi="Kalpurush"/>
          <w:b/>
          <w:bCs/>
          <w:i/>
          <w:iCs/>
          <w:sz w:val="20"/>
          <w:szCs w:val="20"/>
        </w:rPr>
        <w:t xml:space="preserve">'SA 238 is presumptively correct; it is rebuttable, but it must be rebutted by reliable evidence — not merely by assertion.'</w:t>
      </w:r>
    </w:p>
    <w:p>
      <w:pPr>
        <w:ind w:left="720"/>
      </w:pPr>
      <w:r>
        <w:rPr>
          <w:rFonts w:ascii="Kalpurush" w:cs="Kalpurush" w:eastAsia="Kalpurush" w:hAnsi="Kalpurush"/>
          <w:i/>
          <w:iCs/>
          <w:sz w:val="20"/>
          <w:szCs w:val="20"/>
        </w:rPr>
        <w:t xml:space="preserve">*(বঙ্গানুবাদ: "এসএ ২৩৮ খতিয়ান আইনত সঠিক বলে অনুমিত; ইহা খণ্ডনযোগ্য, তবে কেবল মৌখিক দাবি দিয়ে নয়, নির্ভরযোগ্য সাক্ষ্য দ্বারাই ইহাকে খণ্ডন করিতে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III. কথিত ১৯৬৯ সালের Misc Case: Missing Legal Source &amp; The Six Foundational Questions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অবস্থান অনুযায়ী ১৯৬৯ সালের ১১৮১ নং Misc Case-ই allegedly SA position পরিবর্তনের legal source।*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'Before accepting the alleged correction, the Court must identify the legal instrument by which the correction occurred.'</w:t>
      </w:r>
    </w:p>
    <w:p>
      <w:pPr>
        <w:ind w:left="720"/>
      </w:pPr>
      <w:r>
        <w:rPr>
          <w:rFonts w:ascii="Kalpurush" w:cs="Kalpurush" w:eastAsia="Kalpurush" w:hAnsi="Kalpurush"/>
          <w:i/>
          <w:iCs/>
          <w:sz w:val="20"/>
          <w:szCs w:val="20"/>
        </w:rPr>
        <w:t xml:space="preserve">*(বঙ্গানুবাদ: "কথিত সংশোধনকে গ্রহণ করার পূর্বে আদালতকে অবশ্যই সনাক্ত করিতে হইবে কোন আইনি দলিলের মাধ্যমে উক্ত সংশোধন সংঘটিত হইয়াছিল।")*</w:t>
      </w:r>
    </w:p>
    <w:p>
      <w:r>
        <w:rPr>
          <w:rFonts w:ascii="Kalpurush" w:cs="Kalpurush" w:eastAsia="Kalpurush" w:hAnsi="Kalpurush"/>
        </w:rPr>
        <w:t xml:space="preserve"/>
      </w:r>
    </w:p>
    <w:p>
      <w:r>
        <w:rPr>
          <w:rFonts w:ascii="Kalpurush" w:cs="Kalpurush" w:eastAsia="Kalpurush" w:hAnsi="Kalpurush"/>
          <w:sz w:val="20"/>
          <w:szCs w:val="20"/>
        </w:rPr>
        <w:t xml:space="preserve">*তাহলে আমাদের কেন্দ্রীয় প্রশ্ন:*</w:t>
      </w:r>
    </w:p>
    <w:p>
      <w:pPr>
        <w:ind w:left="720"/>
      </w:pPr>
      <w:r>
        <w:rPr>
          <w:rFonts w:ascii="Kalpurush" w:cs="Kalpurush" w:eastAsia="Kalpurush" w:hAnsi="Kalpurush"/>
          <w:b/>
          <w:bCs/>
          <w:i/>
          <w:iCs/>
          <w:sz w:val="20"/>
          <w:szCs w:val="20"/>
        </w:rPr>
        <w:t xml:space="preserve">'মহামান্য আদালত, AC Land volume entry দেখানো হয়েছে — কিন্তু যে আদেশের ভিত্তিতে entry-টি allegedly তৈরি, সেই আদেশ কোথায়?'</w:t>
      </w:r>
    </w:p>
    <w:p>
      <w:r>
        <w:rPr>
          <w:rFonts w:ascii="Kalpurush" w:cs="Kalpurush" w:eastAsia="Kalpurush" w:hAnsi="Kalpurush"/>
        </w:rPr>
        <w:t xml:space="preserve"/>
      </w:r>
    </w:p>
    <w:p>
      <w:r>
        <w:rPr>
          <w:rFonts w:ascii="Kalpurush" w:cs="Kalpurush" w:eastAsia="Kalpurush" w:hAnsi="Kalpurush"/>
          <w:sz w:val="20"/>
          <w:szCs w:val="20"/>
        </w:rPr>
        <w:t xml:space="preserve">*আদালতের সামনে এই ছয়টি মৌলিক প্রমাণের সম্পূর্ণ অনুপস্থিতি বিদ্যমান:*</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(আদেশটি আদৌ অস্তিত্বশীল ছিল কি?)*</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(আদেশটির সুনির্দিষ্ট বিষয়বস্তু ও শর্তাবলী কী ছিল?)*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(কোন এখতিয়ারে আদেশটি প্রদান করা হইয়াছিল?)*</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Notice</w:t>
      </w:r>
      <w:r>
        <w:rPr>
          <w:rFonts w:ascii="Kalpurush" w:cs="Kalpurush" w:eastAsia="Kalpurush" w:hAnsi="Kalpurush"/>
          <w:sz w:val="20"/>
          <w:szCs w:val="20"/>
        </w:rPr>
        <w:t xml:space="preserve"> (রেকর্ডভুক্ত প্রজা আব্দুল আলীকে নোটিশ প্রদান করা হইয়াছিল কি?)*</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(সেই আদেশের ভিত্তিতে SA ২৩৮ কীভাবে আইনসম্মতভাবে Register of Alterations-এ পরিবর্তিত হইল?)*</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Corrected Khatian</w:t>
      </w:r>
      <w:r>
        <w:rPr>
          <w:rFonts w:ascii="Kalpurush" w:cs="Kalpurush" w:eastAsia="Kalpurush" w:hAnsi="Kalpurush"/>
          <w:sz w:val="20"/>
          <w:szCs w:val="20"/>
        </w:rPr>
        <w:t xml:space="preserve"> (সংশোধিত SA ২৩৮ নং খতিয়ানের সইমোহরি কপি কোথায়?)*</w:t>
      </w:r>
    </w:p>
    <w:p>
      <w:r>
        <w:rPr>
          <w:rFonts w:ascii="Kalpurush" w:cs="Kalpurush" w:eastAsia="Kalpurush" w:hAnsi="Kalpurush"/>
        </w:rPr>
        <w:t xml:space="preserve"/>
      </w:r>
    </w:p>
    <w:p>
      <w:r>
        <w:rPr>
          <w:rFonts w:ascii="Kalpurush" w:cs="Kalpurush" w:eastAsia="Kalpurush" w:hAnsi="Kalpurush"/>
          <w:sz w:val="20"/>
          <w:szCs w:val="20"/>
        </w:rPr>
        <w:t xml:space="preserve">*বিবাদীপক্ষ যদি দাবি করে যে আদেশের মাধ্যমে রেকর্ড সংশোধন হইয়াছে, তবে সেই আদেশ ও সংশোধিত খতিয়ান প্রদর্শন করা তাহাদের প্রাথমিক দায়িত্ব ছিল। এমন অবস্থায় একটি purported Misc Case-এর mere existence বা oral description দ্বারা substantive title displacement প্রতিষ্ঠিত হয় না।*</w:t>
      </w:r>
    </w:p>
    <w:p>
      <w:r>
        <w:rPr>
          <w:rFonts w:ascii="Kalpurush" w:cs="Kalpurush" w:eastAsia="Kalpurush" w:hAnsi="Kalpurush"/>
        </w:rPr>
        <w:t xml:space="preserve"/>
      </w:r>
    </w:p>
    <w:p>
      <w:r>
        <w:rPr>
          <w:rFonts w:ascii="Kalpurush" w:cs="Kalpurush" w:eastAsia="Kalpurush" w:hAnsi="Kalpurush"/>
          <w:sz w:val="20"/>
          <w:szCs w:val="20"/>
        </w:rPr>
        <w:t xml:space="preserve">*সাক্ষ্যগত যুক্তির ভিত্তি (Evidentiary Logic) হইল —*</w:t>
      </w:r>
    </w:p>
    <w:p>
      <w:pPr>
        <w:ind w:left="720"/>
      </w:pPr>
      <w:r>
        <w:rPr>
          <w:rFonts w:ascii="Kalpurush" w:cs="Kalpurush" w:eastAsia="Kalpurush" w:hAnsi="Kalpurush"/>
          <w:b/>
          <w:bCs/>
          <w:i/>
          <w:iCs/>
          <w:sz w:val="20"/>
          <w:szCs w:val="20"/>
        </w:rPr>
        <w:t xml:space="preserve">'We are not asking the Court to assume that the volume entry is false. We are asking a simpler question: what is the legal source of that entry? If the alleged parent order is not proved, the consequential entry cannot, by itself, prove the substantive right supposedly created by that order.'</w:t>
      </w:r>
    </w:p>
    <w:p>
      <w:pPr>
        <w:ind w:left="720"/>
      </w:pPr>
      <w:r>
        <w:rPr>
          <w:rFonts w:ascii="Kalpurush" w:cs="Kalpurush" w:eastAsia="Kalpurush" w:hAnsi="Kalpurush"/>
          <w:i/>
          <w:iCs/>
          <w:sz w:val="20"/>
          <w:szCs w:val="20"/>
        </w:rPr>
        <w:t xml:space="preserve">*(বঙ্গানুবাদ: "আমরা আদালতকে ভলিউম এন্ট্রিটি মিথ্যা ধরে নিতে বলছি না। আমরা একটি সরল প্রশ্ন করছি: সেই এন্ট্রির আইনগত উৎস কী? যদি মূল আদেশই প্রমাণিত না হয়, তবে আনুষঙ্গিক এন্ট্রি নিজে থেকে সেই আদেশের দ্বারা সৃষ্ট কথিত মূল স্বত্ব প্রমাণ করতে পারে না।")*</w:t>
      </w:r>
    </w:p>
    <w:p>
      <w:r>
        <w:rPr>
          <w:rFonts w:ascii="Kalpurush" w:cs="Kalpurush" w:eastAsia="Kalpurush" w:hAnsi="Kalpurush"/>
        </w:rPr>
        <w:t xml:space="preserve"/>
      </w:r>
    </w:p>
    <w:p>
      <w:r>
        <w:rPr>
          <w:rFonts w:ascii="Kalpurush" w:cs="Kalpurush" w:eastAsia="Kalpurush" w:hAnsi="Kalpurush"/>
          <w:sz w:val="20"/>
          <w:szCs w:val="20"/>
        </w:rPr>
        <w:t xml:space="preserve">*আইনি নজির —*</w:t>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pPr>
        <w:ind w:left="720"/>
      </w:pPr>
      <w:r>
        <w:rPr>
          <w:rFonts w:ascii="Kalpurush" w:cs="Kalpurush" w:eastAsia="Kalpurush" w:hAnsi="Kalpurush"/>
          <w:i/>
          <w:iCs/>
          <w:sz w:val="20"/>
          <w:szCs w:val="20"/>
        </w:rPr>
        <w:t xml:space="preserve">*(বঙ্গানুবাদ: "মিস মোকদ্দমার সংক্ষিপ্ত প্রক্রিয়ায় স্বত্বের প্রশ্ন নিষ্পত্তি করা যায় না। স্বত্ব ঘোষণার জন্য দেওয়ানি মামলা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IV. কথিত সংশোধনের সরকারি প্রতিফলন কোথায়? (The Missing Official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বক্তব্য যদি হয় যে ১১৮১/১৯৬৯ নং কথিত Misc Case-এর মাধ্যমে SA ২৩৮ নং খতিয়ানের substantive interest পরিবর্তিত হয়ে সোনাভানুর স্বত্ব সৃষ্টি হয়েছিল, তবে সেই পরিবর্তনের কোনো authoritative documentary manifestation আদালতের সামনে থাকা প্রত্যাশিত।*</w:t>
      </w:r>
    </w:p>
    <w:p>
      <w:r>
        <w:rPr>
          <w:rFonts w:ascii="Kalpurush" w:cs="Kalpurush" w:eastAsia="Kalpurush" w:hAnsi="Kalpurush"/>
        </w:rPr>
        <w:t xml:space="preserve"/>
      </w:r>
    </w:p>
    <w:p>
      <w:r>
        <w:rPr>
          <w:rFonts w:ascii="Kalpurush" w:cs="Kalpurush" w:eastAsia="Kalpurush" w:hAnsi="Kalpurush"/>
          <w:sz w:val="20"/>
          <w:szCs w:val="20"/>
        </w:rPr>
        <w:t xml:space="preserve">*কিন্তু বর্তমান জেলা Settlement Record Room-এ সংরক্ষিত SA ২৩৮ নং খতিয়ানে আজও আব্দুল আলীর নামই এককভাবে বহাল। বিবাদীপক্ষ কোনো সংশোধিত SA ২৩৮ নং সইমোহরি কপি, সংশ্লিষ্ট alteration trail বা এমন কোনো সরকারি record দাখিল করতে পারেনি, যাহা দ্বারা alleged correction-এর final legal effect নির্ভরযোগ্যভাবে নিরূপণ করা যায়।*</w:t>
      </w:r>
    </w:p>
    <w:p>
      <w:r>
        <w:rPr>
          <w:rFonts w:ascii="Kalpurush" w:cs="Kalpurush" w:eastAsia="Kalpurush" w:hAnsi="Kalpurush"/>
        </w:rPr>
        <w:t xml:space="preserve"/>
      </w:r>
    </w:p>
    <w:p>
      <w:r>
        <w:rPr>
          <w:rFonts w:ascii="Kalpurush" w:cs="Kalpurush" w:eastAsia="Kalpurush" w:hAnsi="Kalpurush"/>
          <w:sz w:val="20"/>
          <w:szCs w:val="20"/>
        </w:rPr>
        <w:t xml:space="preserve">*বিবাদীপক্ষ যদি বলেন যে AC Land ভলিউমের এন্ট্রিই সংশোধনের চূড়ান্ত প্রমাণ, তবে তাঁদের দেখাইতে হবে — কীভাবে সেই এন্ট্রি আইনসঙ্গতভাবে SA ২৩৮-এর final record-এ কার্যকর পরিবর্তনে রূপান্তরিত হয়েছিল। কেবল একটি স্থানীয় রাজস্ব ভলিউমে এন্ট্রির অস্তিত্ব সেই প্রশ্নের উত্তর দেয়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present authoritative record maintained in the District Settlement Record Room does not reflect Sona Bhanu as a recorded co-sharer in SA 238. Thus, the alleged 1969 correction is not merely unsupported by its parent order; its alleged substantive result is also not reflected in the present final SA record.'</w:t>
      </w:r>
    </w:p>
    <w:p>
      <w:pPr>
        <w:ind w:left="720"/>
      </w:pPr>
      <w:r>
        <w:rPr>
          <w:rFonts w:ascii="Kalpurush" w:cs="Kalpurush" w:eastAsia="Kalpurush" w:hAnsi="Kalpurush"/>
          <w:i/>
          <w:iCs/>
          <w:sz w:val="20"/>
          <w:szCs w:val="20"/>
        </w:rPr>
        <w:t xml:space="preserve">*(বঙ্গানুবাদ: "জেলা সেটেলমেন্ট রেকর্ড রুমে সংরক্ষিত বর্তমান authoritative SA ২৩৮ নং রেকর্ডে সোনাভানু কোনো recorded co-sharer হিসেবে প্রতিফলিত নন। অতএব কথিত ১৯৬৯ সালের সংশোধন শুধু তার মূল আদেশ দ্বারা অপ্রমাণিতই নয়; সেই সংশোধনের কথিত substantive ফলাফলও বর্তমান চূড়ান্ত SA রেকর্ডে প্রতিফলিত নয়।")*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সইমোহরি সংশোধিত খতিয়ানের অনুপস্থিতি:</w:t>
      </w:r>
    </w:p>
    <w:p>
      <w:r>
        <w:rPr>
          <w:rFonts w:ascii="Kalpurush" w:cs="Kalpurush" w:eastAsia="Kalpurush" w:hAnsi="Kalpurush"/>
          <w:sz w:val="20"/>
          <w:szCs w:val="20"/>
        </w:rPr>
        <w:t xml:space="preserve">*যে পক্ষ একটি নির্দিষ্ট corrected state of record-এর উপর substantive claim প্রতিষ্ঠা করছে, সেই পক্ষের অন্তত এমন documentary evidence উপস্থাপন করা উচিত ছিল, যাহা দ্বারা সেই corrected state-এর existence, contents এবং legal implementation নির্ভরযোগ্যভাবে যাচাই করা যায়; কিন্তু তাঁরা এমন কোনো corrected SA ২৩৮ copy আদালতে দাখিল করেননি।*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'At the very least, the respondents were required to place before the Court sufficient documentary evidence from which the existence, contents and implementation of the alleged correction could be reliably ascertained. The absence of the best available documentary evidence warrants an adverse inference against the party asserting the alleged correction, subject to the Court’s appreciation of the entire evidence.'</w:t>
      </w:r>
    </w:p>
    <w:p>
      <w:pPr>
        <w:ind w:left="720"/>
      </w:pPr>
      <w:r>
        <w:rPr>
          <w:rFonts w:ascii="Kalpurush" w:cs="Kalpurush" w:eastAsia="Kalpurush" w:hAnsi="Kalpurush"/>
          <w:i/>
          <w:iCs/>
          <w:sz w:val="20"/>
          <w:szCs w:val="20"/>
        </w:rPr>
        <w:t xml:space="preserve">*(বঙ্গানুবাদ: "ন্যূনতমপক্ষে বিবাদীপক্ষের দায়িত্ব ছিল আদালতের সামনে এমন পর্যাপ্ত দালিলিক সাক্ষ্য উপস্থাপন করা, যা দ্বারা কথিত সংশোধনের অস্তিত্ব, বিষয়বস্তু ও বাস্তবায়ন নির্ভরযোগ্যভাবে নিরূপণ করা যায়। সর্বোত্তম দালিলিক প্রমাণের অনুপস্থিতি, সমগ্র সাক্ষ্যের আলোকে আদালতের বিবেচনাসাপেক্ষে, কথিত সংশোধন দাবিদার পক্ষের বিরুদ্ধে একটি প্রতিকূল অনুমানের যৌক্তিকতা সৃষ্টি করে।")*</w:t>
      </w:r>
    </w:p>
    <w:p>
      <w:r>
        <w:rPr>
          <w:rFonts w:ascii="Kalpurush" w:cs="Kalpurush" w:eastAsia="Kalpurush" w:hAnsi="Kalpurush"/>
        </w:rPr>
        <w:t xml:space="preserve"/>
      </w:r>
    </w:p>
    <w:p>
      <w:r>
        <w:rPr>
          <w:rFonts w:ascii="Kalpurush" w:cs="Kalpurush" w:eastAsia="Kalpurush" w:hAnsi="Kalpurush"/>
          <w:sz w:val="20"/>
          <w:szCs w:val="20"/>
        </w:rPr>
        <w:t xml:space="preserve">*অতএব AC Land office-এর একটি isolated volume entry-কে এমন একটি correction-এর বিকল্প হিসেবে গ্রহণ করা নিরাপদ নয়, যার সরকারি ও প্রাতিষ্ঠানিক ফলাফলই অন্য কোনো authoritative record-এ প্রতিফলিত হয়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 AC Land ভলিউম এন্ট্রি: প্রমাণিক গুরুত্ব ও Provenance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AC Land অফিসের রাজস্ব ভলিউমে থাকা এন্ট্রি সম্পর্কে আমাদের বিনীত অবস্থান:*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the AC Land volume is a genuine revenue record, the respondents must still establish its legal source, nature and authority to alter the substantive interest recorded in SA 238. A revenue volume entry cannot, merely by appearing in a government office book, acquire the evidentiary effect of a judicial or statutory correction order.'</w:t>
      </w:r>
    </w:p>
    <w:p>
      <w:pPr>
        <w:ind w:left="720"/>
      </w:pPr>
      <w:r>
        <w:rPr>
          <w:rFonts w:ascii="Kalpurush" w:cs="Kalpurush" w:eastAsia="Kalpurush" w:hAnsi="Kalpurush"/>
          <w:i/>
          <w:iCs/>
          <w:sz w:val="20"/>
          <w:szCs w:val="20"/>
        </w:rPr>
        <w:t xml:space="preserve">*(বঙ্গানুবাদ: "এমনকি যদি ধরেও নেওয়া হয় যে এসি ল্যান্ড ভলিউম একটি প্রকৃত রাজস্ব রেকর্ড, তবুও বিবাদীপক্ষকে অবশ্যই এসএ ২৩৮-এ রেকর্ডকৃত মূল স্বত্ব পরিবর্তন করার আইনগত উৎস, প্রকৃতি ও কর্তৃত্ব প্রমাণ করতে হবে। একটি রাজস্ব ভলিউম এন্ট্রি কেবল কোনো সরকারি অফিসের বইয়ে দৃশ্যমান হওয়ার কারণেই কোনো বিচারিক বা সংবিধিবদ্ধ সংশোধন আদেশের প্রমাণিক মর্যাদা লাভ করতে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DW-4-এর সাক্ষ্য (Evidence on Record):</w:t>
      </w:r>
    </w:p>
    <w:p>
      <w:r>
        <w:rPr>
          <w:rFonts w:ascii="Kalpurush" w:cs="Kalpurush" w:eastAsia="Kalpurush" w:hAnsi="Kalpurush"/>
          <w:sz w:val="20"/>
          <w:szCs w:val="20"/>
        </w:rPr>
        <w:t xml:space="preserve">*বিবাদীদের সাক্ষী DW-4 আদালতে স্বীকার করিয়াছেন যে —*</w:t>
      </w:r>
    </w:p>
    <w:p>
      <w:pPr>
        <w:pStyle w:val="ListParagraph"/>
        <w:numPr>
          <w:ilvl w:val="0"/>
          <w:numId w:val="1"/>
        </w:numPr>
      </w:pPr>
      <w:r>
        <w:rPr>
          <w:rFonts w:ascii="Kalpurush" w:cs="Kalpurush" w:eastAsia="Kalpurush" w:hAnsi="Kalpurush"/>
          <w:sz w:val="20"/>
          <w:szCs w:val="20"/>
        </w:rPr>
        <w:t xml:space="preserve">*তিনি entry-এর provenance ব্যাখ্যা বা underlying record দেখাতে সক্ষম হননি;*</w:t>
      </w:r>
    </w:p>
    <w:p>
      <w:pPr>
        <w:pStyle w:val="ListParagraph"/>
        <w:numPr>
          <w:ilvl w:val="0"/>
          <w:numId w:val="1"/>
        </w:numPr>
      </w:pPr>
      <w:r>
        <w:rPr>
          <w:rFonts w:ascii="Kalpurush" w:cs="Kalpurush" w:eastAsia="Kalpurush" w:hAnsi="Kalpurush"/>
          <w:sz w:val="20"/>
          <w:szCs w:val="20"/>
        </w:rPr>
        <w:t xml:space="preserve">*কোনো underlying file বা parent order প্রদর্শন করতে পারেননি;*</w:t>
      </w:r>
    </w:p>
    <w:p>
      <w:pPr>
        <w:pStyle w:val="ListParagraph"/>
        <w:numPr>
          <w:ilvl w:val="0"/>
          <w:numId w:val="1"/>
        </w:numPr>
      </w:pPr>
      <w:r>
        <w:rPr>
          <w:rFonts w:ascii="Kalpurush" w:cs="Kalpurush" w:eastAsia="Kalpurush" w:hAnsi="Kalpurush"/>
          <w:sz w:val="20"/>
          <w:szCs w:val="20"/>
        </w:rPr>
        <w:t xml:space="preserve">*এবং এন্ট্রিটি ভিন্ন কালিতে থাকার বিষয়টি স্বীকার করিয়াছেন — যা এন্ট্রির provenance এবং legal basis সম্পর্কে serious evidentiary doubt সৃষ্টি করে।*</w:t>
      </w:r>
    </w:p>
    <w:p>
      <w:r>
        <w:rPr>
          <w:rFonts w:ascii="Kalpurush" w:cs="Kalpurush" w:eastAsia="Kalpurush" w:hAnsi="Kalpurush"/>
        </w:rPr>
        <w:t xml:space="preserve"/>
      </w:r>
    </w:p>
    <w:p>
      <w:r>
        <w:rPr>
          <w:rFonts w:ascii="Kalpurush" w:cs="Kalpurush" w:eastAsia="Kalpurush" w:hAnsi="Kalpurush"/>
          <w:sz w:val="20"/>
          <w:szCs w:val="20"/>
        </w:rPr>
        <w:t xml:space="preserve">*প্রাসঙ্গিক আইনি নজির —*</w:t>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mutation entry carries no statutory presumption of correctness without the underlying parent order."*</w:t>
      </w:r>
    </w:p>
    <w:p>
      <w:pPr>
        <w:ind w:left="720"/>
      </w:pPr>
      <w:r>
        <w:rPr>
          <w:rFonts w:ascii="Kalpurush" w:cs="Kalpurush" w:eastAsia="Kalpurush" w:hAnsi="Kalpurush"/>
          <w:i/>
          <w:iCs/>
          <w:sz w:val="20"/>
          <w:szCs w:val="20"/>
        </w:rPr>
        <w:t xml:space="preserve">*(বঙ্গানুবাদ: "মূল আদেশ ব্যতীত ভলিউম নোট বা নামজারি এন্ট্রির কোনো সংবিধিবদ্ধ নির্ভুলতার অনুমান থাকে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invalid and legally ineffective."*</w:t>
      </w:r>
    </w:p>
    <w:p>
      <w:pPr>
        <w:ind w:left="720"/>
      </w:pPr>
      <w:r>
        <w:rPr>
          <w:rFonts w:ascii="Kalpurush" w:cs="Kalpurush" w:eastAsia="Kalpurush" w:hAnsi="Kalpurush"/>
          <w:i/>
          <w:iCs/>
          <w:sz w:val="20"/>
          <w:szCs w:val="20"/>
        </w:rPr>
        <w:t xml:space="preserve">*(বঙ্গানুবাদ: "মূল বিচারিক আদেশনামা ছাড়া ভিন্ন কালিতে বা হস্তাক্ষরে এসএ খতিয়ানে কৃত পরিবর্তন অবৈধ এবং আইনত অকার্যকর।")*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*"An administrative ROR entry or procured mutation note cannot override an established title or statutory presumption attached to a finally published record."*</w:t>
      </w:r>
    </w:p>
    <w:p>
      <w:pPr>
        <w:ind w:left="720"/>
      </w:pPr>
      <w:r>
        <w:rPr>
          <w:rFonts w:ascii="Kalpurush" w:cs="Kalpurush" w:eastAsia="Kalpurush" w:hAnsi="Kalpurush"/>
          <w:i/>
          <w:iCs/>
          <w:sz w:val="20"/>
          <w:szCs w:val="20"/>
        </w:rPr>
        <w:t xml:space="preserve">*(বঙ্গানুবাদ: "প্রশাসনিক খতিয়ান এন্ট্রি বা সংগৃহীত নামজারি নোট কোনো প্রতিষ্ঠিত স্বত্ব বা চূড়ান্ত প্রকাশিত রেকর্ডের সংবিধিবদ্ধ অনুমানকে বাতিল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 ১৯৭৫ সালের রেজিস্ট্রিকৃত দলিল (Deed No. 3596/1975) — দালিলিক বৈপরীত্য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theory:*</w:t>
      </w:r>
    </w:p>
    <w:p>
      <w:r>
        <w:rPr>
          <w:rFonts w:ascii="Kalpurush" w:cs="Kalpurush" w:eastAsia="Kalpurush" w:hAnsi="Kalpurush"/>
          <w:sz w:val="20"/>
          <w:szCs w:val="20"/>
        </w:rPr>
        <w:t xml:space="preserve">$$\text{Alleged 1969 correction} \longrightarrow \text{SA 238 effectively one dag (1259)}$$</w:t>
      </w:r>
    </w:p>
    <w:p>
      <w:r>
        <w:rPr>
          <w:rFonts w:ascii="Kalpurush" w:cs="Kalpurush" w:eastAsia="Kalpurush" w:hAnsi="Kalpurush"/>
        </w:rPr>
        <w:t xml:space="preserve"/>
      </w:r>
    </w:p>
    <w:p>
      <w:r>
        <w:rPr>
          <w:rFonts w:ascii="Kalpurush" w:cs="Kalpurush" w:eastAsia="Kalpurush" w:hAnsi="Kalpurush"/>
          <w:sz w:val="20"/>
          <w:szCs w:val="20"/>
        </w:rPr>
        <w:t xml:space="preserve">*কিন্তু তাহাদের নিজেদের রেজিস্ট্রিকৃত ৩৫৯৬/১৯৭৫ নং দলিলে (Exhibit Kha-1) SA ২৩৮-এর অধীনে ছয়টি দাগের বর্ণনা রহিয়াছে:*</w:t>
      </w:r>
    </w:p>
    <w:p>
      <w:r>
        <w:rPr>
          <w:rFonts w:ascii="Kalpurush" w:cs="Kalpurush" w:eastAsia="Kalpurush" w:hAnsi="Kalpurush"/>
          <w:sz w:val="20"/>
          <w:szCs w:val="20"/>
        </w:rPr>
        <w:t xml:space="preserve">$$\text{দাগসমূহ: ১২৫৯, ৭৫, ৩, ৫৪, ১২৫২ এবং ১২২০}$$</w:t>
      </w:r>
    </w:p>
    <w:p>
      <w:r>
        <w:rPr>
          <w:rFonts w:ascii="Kalpurush" w:cs="Kalpurush" w:eastAsia="Kalpurush" w:hAnsi="Kalpurush"/>
        </w:rPr>
        <w:t xml:space="preserve"/>
      </w:r>
    </w:p>
    <w:p>
      <w:r>
        <w:rPr>
          <w:rFonts w:ascii="Kalpurush" w:cs="Kalpurush" w:eastAsia="Kalpurush" w:hAnsi="Kalpurush"/>
          <w:sz w:val="20"/>
          <w:szCs w:val="20"/>
        </w:rPr>
        <w:t xml:space="preserve">*তাই আদালতের সামনে প্রশ্নটি খুব স্পষ্ট ও সুনির্দিষ্ট:*</w:t>
      </w:r>
    </w:p>
    <w:p>
      <w:pPr>
        <w:ind w:left="720"/>
      </w:pPr>
      <w:r>
        <w:rPr>
          <w:rFonts w:ascii="Kalpurush" w:cs="Kalpurush" w:eastAsia="Kalpurush" w:hAnsi="Kalpurush"/>
          <w:b/>
          <w:bCs/>
          <w:i/>
          <w:iCs/>
          <w:sz w:val="20"/>
          <w:szCs w:val="20"/>
        </w:rPr>
        <w:t xml:space="preserve">'If the alleged 1969 correction had reduced the SA 238 holding to one dag, why does the respondents' own registered deed of 1975 describe six dags under the same khatian?'</w:t>
      </w:r>
    </w:p>
    <w:p>
      <w:pPr>
        <w:ind w:left="720"/>
      </w:pPr>
      <w:r>
        <w:rPr>
          <w:rFonts w:ascii="Kalpurush" w:cs="Kalpurush" w:eastAsia="Kalpurush" w:hAnsi="Kalpurush"/>
          <w:i/>
          <w:iCs/>
          <w:sz w:val="20"/>
          <w:szCs w:val="20"/>
        </w:rPr>
        <w:t xml:space="preserve">*(বঙ্গানুবাদ: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w:t>
      </w:r>
    </w:p>
    <w:p>
      <w:pPr>
        <w:ind w:left="720"/>
      </w:pPr>
      <w:r>
        <w:rPr>
          <w:rFonts w:ascii="Kalpurush" w:cs="Kalpurush" w:eastAsia="Kalpurush" w:hAnsi="Kalpurush"/>
          <w:b/>
          <w:bCs/>
          <w:i/>
          <w:iCs/>
          <w:sz w:val="20"/>
          <w:szCs w:val="20"/>
        </w:rPr>
        <w:t xml:space="preserve">'The contradiction does not by itself prove fabrication, but it materially undermines the credibility and alleged operation of the one-dag correction theory.'</w:t>
      </w:r>
    </w:p>
    <w:p>
      <w:pPr>
        <w:ind w:left="720"/>
      </w:pPr>
      <w:r>
        <w:rPr>
          <w:rFonts w:ascii="Kalpurush" w:cs="Kalpurush" w:eastAsia="Kalpurush" w:hAnsi="Kalpurush"/>
          <w:i/>
          <w:iCs/>
          <w:sz w:val="20"/>
          <w:szCs w:val="20"/>
        </w:rPr>
        <w:t xml:space="preserve">*(বঙ্গানুবাদ: "এই বৈপরীত্য নিজে থেকেই জালিয়াতি প্রমাণ করে না; তবে ইহা এক-দাগের কথিত সংশোধন তত্ত্বের বিশ্বাসযোগ্যতা ও কথিত আইনগত কার্যকারিতা সম্পর্কে গুরুতর সন্দেহ সৃষ্টি করে।")*</w:t>
      </w:r>
    </w:p>
    <w:p>
      <w:r>
        <w:rPr>
          <w:rFonts w:ascii="Kalpurush" w:cs="Kalpurush" w:eastAsia="Kalpurush" w:hAnsi="Kalpurush"/>
        </w:rPr>
        <w:t xml:space="preserve"/>
      </w:r>
    </w:p>
    <w:p>
      <w:r>
        <w:rPr>
          <w:rFonts w:ascii="Kalpurush" w:cs="Kalpurush" w:eastAsia="Kalpurush" w:hAnsi="Kalpurush"/>
          <w:sz w:val="20"/>
          <w:szCs w:val="20"/>
        </w:rPr>
        <w:t xml:space="preserve">*এই দলিলটি Evidence Act-এর admission principles-এর অধীনে বিবাদীপক্ষের বর্তমান সংশোধন তত্ত্বের বিরুদ্ধে একটি গুরুতর দালিলিক বৈপরীত্য সৃষ্টি করে (Supporting Doctrine: Doctrine of Approbate and Reprobate)।"*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 ১৯৫৭ সালের দলিল (Deed No. 2398/1957) — সমসাময়িক দালিলিক সমর্থন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*২৩৯৮/১৯৫৭ নং রেজিস্ট্রিকৃত দলিলটি (প্রদর্শনী-২) SA জরিপকালীন সময়ের (১৯৫৬–১৯৬২) সমসাময়িক রেজিস্ট্রিকৃত দলিল। উক্ত দলিলভুক্ত ৩ নং দাগের জমি SA ২৩৮ নং খতিয়ানের অন্তর্ভুক্ত জমিরই অংশ হিসেবে রেকর্ডভুক্ত।*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deed is corroborative of the contemporaneous documentary relationship of Abdul Ali with the very land later reflected in SA 238.'</w:t>
      </w:r>
    </w:p>
    <w:p>
      <w:pPr>
        <w:ind w:left="720"/>
      </w:pPr>
      <w:r>
        <w:rPr>
          <w:rFonts w:ascii="Kalpurush" w:cs="Kalpurush" w:eastAsia="Kalpurush" w:hAnsi="Kalpurush"/>
          <w:i/>
          <w:iCs/>
          <w:sz w:val="20"/>
          <w:szCs w:val="20"/>
        </w:rPr>
        <w:t xml:space="preserve">*(বঙ্গানুবাদ: "উক্ত দলিলটি পরবর্তীতে এসএ ২৩৮ খতিয়ানে প্রতিফলিত একই নির্দিষ্ট জমির সঙ্গে আব্দুল আলীর সমসাময়িক দালিলিক সম্পর্ককে সমর্থন করে।")*</w:t>
      </w:r>
    </w:p>
    <w:p>
      <w:r>
        <w:rPr>
          <w:rFonts w:ascii="Kalpurush" w:cs="Kalpurush" w:eastAsia="Kalpurush" w:hAnsi="Kalpurush"/>
        </w:rPr>
        <w:t xml:space="preserve"/>
      </w:r>
    </w:p>
    <w:p>
      <w:r>
        <w:rPr>
          <w:rFonts w:ascii="Kalpurush" w:cs="Kalpurush" w:eastAsia="Kalpurush" w:hAnsi="Kalpurush"/>
          <w:sz w:val="20"/>
          <w:szCs w:val="20"/>
        </w:rPr>
        <w:t xml:space="preserve">*অতএব দলিলটি SA ২৩৮-এর title source নয়; ইহা SA operation-এর সমসাময়িক একটি registered documentary circumstance।*</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যদি প্রশ্ন করেন — 'আপনারা যদি ১৯৩৪ সালের পত্তন দাবি না করেন, তবে আব্দুল আলীর স্বত্বের ভিত্তি কী?'*</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w:t>
      </w:r>
    </w:p>
    <w:p>
      <w:pPr>
        <w:ind w:left="720"/>
      </w:pPr>
      <w:r>
        <w:rPr>
          <w:rFonts w:ascii="Kalpurush" w:cs="Kalpurush" w:eastAsia="Kalpurush" w:hAnsi="Kalpurush"/>
          <w:b/>
          <w:bCs/>
          <w:i/>
          <w:iCs/>
          <w:sz w:val="20"/>
          <w:szCs w:val="20"/>
        </w:rPr>
        <w:t xml:space="preserve">'মহামান্য আদালত, আপীল্যান্টদের বর্তমান দাবি আব্দুল করিমের কথিত পত্তনের derivative claim নয়; অতএব বিবাদীদের competing root tenancy-কে বাদীর title-এর উৎস হিসেবে ধরে নিয়ে বাদীর উপর সেই root tenancy প্রমাণ বা খণ্ডনের অতিরিক্ত burden আরোপ করা সঠিক নয়। আমাদের প্রমাণের কেন্দ্রবিন্দু হলো রাষ্ট্রের Estate Acquisition-পরবর্তী State Recognition এবং finally published SA Record।'</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VIII. বিবাদীপক্ষের দাবিকৃত Competing Root Tenancy-র দালিলিক দুর্বলতা ও Fallback Argument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 যখন SA ২৩৮-এর বিপরীতে একটি competing root tenancy ও inheritance chain উত্থাপন করিতেছে, তখন সেই competing chain-এর foundational facts তাঁদেরই প্রমাণে প্রতিষ্ঠিত হইতে হবে; কেবল উক্ত chain-এর assertion দ্বারা final SA record-এর evidentiary effect নষ্ট হয় না।*</w:t>
      </w:r>
    </w:p>
    <w:p>
      <w:r>
        <w:rPr>
          <w:rFonts w:ascii="Kalpurush" w:cs="Kalpurush" w:eastAsia="Kalpurush" w:hAnsi="Kalpurush"/>
        </w:rPr>
        <w:t xml:space="preserve"/>
      </w:r>
    </w:p>
    <w:p>
      <w:r>
        <w:rPr>
          <w:rFonts w:ascii="Kalpurush" w:cs="Kalpurush" w:eastAsia="Kalpurush" w:hAnsi="Kalpurush"/>
          <w:sz w:val="20"/>
          <w:szCs w:val="20"/>
        </w:rPr>
        <w:t xml:space="preserve">*CS ২ নং খতিয়ানে পূর্বতন ব্যক্তিগত রায়তি স্বত্বের কোনো record নেই। জমিটি ঢাকা নবাব এস্টেটের খাস হিসেবে প্রতিফলিত। অতএব, বিবাদীপক্ষ যদি দাবি করে যে পরবর্তীতে ১৯৩৪ সালে আব্দুল করিম একটি স্বতন্ত্র উত্তরাধিকারযোগ্য রায়তি স্বত্ব অর্জন করেন, সেই পরিবর্তনের foundational document ও legal source তাঁদেরই প্রদর্শন করতে হবে।*</w:t>
      </w:r>
    </w:p>
    <w:p>
      <w:r>
        <w:rPr>
          <w:rFonts w:ascii="Kalpurush" w:cs="Kalpurush" w:eastAsia="Kalpurush" w:hAnsi="Kalpurush"/>
        </w:rPr>
        <w:t xml:space="preserve"/>
      </w:r>
    </w:p>
    <w:p>
      <w:r>
        <w:rPr>
          <w:rFonts w:ascii="Kalpurush" w:cs="Kalpurush" w:eastAsia="Kalpurush" w:hAnsi="Kalpurush"/>
          <w:sz w:val="20"/>
          <w:szCs w:val="20"/>
        </w:rPr>
        <w:t xml:space="preserve">*মহামান্য আপীল বিভাগের সুস্পষ্ট সিদ্ধান্ত —*</w:t>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written approval of the Chief Manager are void ab initio and confer no title."*</w:t>
      </w:r>
    </w:p>
    <w:p>
      <w:pPr>
        <w:ind w:left="720"/>
      </w:pPr>
      <w:r>
        <w:rPr>
          <w:rFonts w:ascii="Kalpurush" w:cs="Kalpurush" w:eastAsia="Kalpurush" w:hAnsi="Kalpurush"/>
          <w:i/>
          <w:iCs/>
          <w:sz w:val="20"/>
          <w:szCs w:val="20"/>
        </w:rPr>
        <w:t xml:space="preserve">*(বঙ্গানুবাদ: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pPr>
        <w:ind w:left="720"/>
      </w:pPr>
      <w:r>
        <w:rPr>
          <w:rFonts w:ascii="Kalpurush" w:cs="Kalpurush" w:eastAsia="Kalpurush" w:hAnsi="Kalpurush"/>
          <w:i/>
          <w:iCs/>
          <w:sz w:val="20"/>
          <w:szCs w:val="20"/>
        </w:rPr>
        <w:t xml:space="preserve">*(বঙ্গানুবাদ: "অনিবন্ধিত পাট্টার মাধ্যমে যে স্বত্ব বা অধিকারই অর্জিত হয়ে থাকুক না কেন, এস.এ.টি. আইনের ৮৬ ধারার অধীনে রাষ্ট্রীয় অধিগ্রহণের ফলে তা বিলুপ্ত হয়ে গেছে।")*</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আপীল্যান্টপক্ষের অত্যন্ত শক্তিশালী বিকল্প আইনি অবস্থান (The Strategic Fallback Argument):</w:t>
      </w:r>
    </w:p>
    <w:p>
      <w:pPr>
        <w:ind w:left="720"/>
      </w:pPr>
      <w:r>
        <w:rPr>
          <w:rFonts w:ascii="Kalpurush" w:cs="Kalpurush" w:eastAsia="Kalpurush" w:hAnsi="Kalpurush"/>
          <w:b/>
          <w:bCs/>
          <w:i/>
          <w:iCs/>
          <w:sz w:val="20"/>
          <w:szCs w:val="20"/>
        </w:rPr>
        <w:t xml:space="preserve">'মহামান্য আদালত, আমাদের present record-based claim আব্দুল করিমের alleged pattan থেকে derivative নয়। রাষ্ট্র Estate Acquisition-এর পর SA operation-এ আব্দুল আলীকে record করেছে। বিবাদীপক্ষই প্রথম SA ২৩৮-কে ভুল দাবি করে এবং আব্দুল করিমের competing root claim দাঁড় করায়। অতএব তাঁদের শুধু alleged root tenancy নয়, সেই root-এর ভিত্তিতে কীভাবে SA ২৩৮ displaced হলো — সেটিও প্রমাণ করতে হবে।</w:t>
      </w:r>
    </w:p>
    <w:p>
      <w:pPr>
        <w:ind w:left="720"/>
      </w:pPr>
    </w:p>
    <w:p>
      <w:pPr>
        <w:ind w:left="720"/>
      </w:pPr>
      <w:r>
        <w:rPr>
          <w:rFonts w:ascii="Kalpurush" w:cs="Kalpurush" w:eastAsia="Kalpurush" w:hAnsi="Kalpurush"/>
          <w:b/>
          <w:bCs/>
          <w:i/>
          <w:iCs/>
          <w:sz w:val="20"/>
          <w:szCs w:val="20"/>
        </w:rPr>
        <w:t xml:space="preserve">Even assuming, for argument’s sake, that Abdul Karim had some pre-SA interest, that assumption does not by itself prove that Abdul Ali’s finally published SA entry was wrong or that Sona Bhanu subsequently acquired a legally effective interest in SA 238.'</w:t>
      </w:r>
    </w:p>
    <w:p>
      <w:pPr>
        <w:ind w:left="720"/>
      </w:pPr>
    </w:p>
    <w:p>
      <w:pPr>
        <w:ind w:left="720"/>
      </w:pPr>
      <w:r>
        <w:rPr>
          <w:rFonts w:ascii="Kalpurush" w:cs="Kalpurush" w:eastAsia="Kalpurush" w:hAnsi="Kalpurush"/>
          <w:i/>
          <w:iCs/>
          <w:sz w:val="20"/>
          <w:szCs w:val="20"/>
        </w:rPr>
        <w:t xml:space="preserve">*(বঙ্গানুবাদ: "তর্কের খাতিরে যদি ধরেও নেওয়া হয় যে প্রাক-এসএ আমলে আব্দুল করিমের কোনো স্বত্ব বা অধিকার ছিল, তবুও সেই অনুমান নিজে থেকেই প্রমাণ করে না যে চূড়ান্ত প্রকাশিত এসএ ২৩৮-এ আব্দুল আলীর একক রেকর্ড ভুল ছিল কিংবা পরবর্তীতে সোনাভানু এসএ ২৩৮-এ আইনত কার্যকর কোনো অংশ বা স্বত্ব অর্জন করেছিলেন।")*"*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IX. সহায়ক পরিস্থিতিগত প্রমাণ (Supporting Circumstances)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৯.১ সোনাভানুর অন্য ওয়ারিশদের বাদ পড়া (Selective Entry):</w:t>
      </w:r>
    </w:p>
    <w:p>
      <w:r>
        <w:rPr>
          <w:rFonts w:ascii="Kalpurush" w:cs="Kalpurush" w:eastAsia="Kalpurush" w:hAnsi="Kalpurush"/>
          <w:sz w:val="20"/>
          <w:szCs w:val="20"/>
        </w:rPr>
        <w:t xml:space="preserve">*যদি কথিত সংশোধনটি প্রকৃতপক্ষে উত্তরাধিকার নির্ধারণকারী বিচারিক আদেশের ফল হয়, তবে বিবাদীপক্ষকে ব্যাখ্যা করিতে হইবে কেন তাঁদের নিজেদের উত্তরাধিকার-তত্ত্ব অনুযায়ী দাবিকৃত অন্যান্য উত্তরাধিকারীদের (বেলুয়া ও কমলা) নাম একই সংশোধনে প্রতিফলিত হয়নি।*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৯.২ গাণিতিক অসামঞ্জস্য (Internal Consistency Check on Acreage):</w:t>
      </w:r>
    </w:p>
    <w:p>
      <w:pPr>
        <w:pStyle w:val="ListParagraph"/>
        <w:numPr>
          <w:ilvl w:val="0"/>
          <w:numId w:val="1"/>
        </w:numPr>
      </w:pPr>
      <w:r>
        <w:rPr>
          <w:rFonts w:ascii="Kalpurush" w:cs="Kalpurush" w:eastAsia="Kalpurush" w:hAnsi="Kalpurush"/>
          <w:sz w:val="20"/>
          <w:szCs w:val="20"/>
        </w:rPr>
        <w:t xml:space="preserve">*বাদীপক্ষের হিসাব:* ৩৪০ শতাংশ + সরকারি খাস ১৩৭ শতাংশ = ৪৭৭ শতাংশ (দাগের মোট আয়তন)।</w:t>
      </w:r>
    </w:p>
    <w:p>
      <w:pPr>
        <w:pStyle w:val="ListParagraph"/>
        <w:numPr>
          <w:ilvl w:val="0"/>
          <w:numId w:val="1"/>
        </w:numPr>
      </w:pPr>
      <w:r>
        <w:rPr>
          <w:rFonts w:ascii="Kalpurush" w:cs="Kalpurush" w:eastAsia="Kalpurush" w:hAnsi="Kalpurush"/>
          <w:sz w:val="20"/>
          <w:szCs w:val="20"/>
        </w:rPr>
        <w:t xml:space="preserve">*বিবাদীপক্ষের হিসাব:* ৩৪৯ শতাংশ + সরকারি খাস ১৩৭ শতাংশ = ৪৮৬ শতাংশ (৯ শতাংশ অতিরিক্ত জমি)।</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'This is not our principal title argument; it is an internal consistency check on the respondents’ own acreage narrative.'</w:t>
      </w:r>
    </w:p>
    <w:p>
      <w:pPr>
        <w:ind w:left="720"/>
      </w:pPr>
      <w:r>
        <w:rPr>
          <w:rFonts w:ascii="Kalpurush" w:cs="Kalpurush" w:eastAsia="Kalpurush" w:hAnsi="Kalpurush"/>
          <w:i/>
          <w:iCs/>
          <w:sz w:val="20"/>
          <w:szCs w:val="20"/>
        </w:rPr>
        <w:t xml:space="preserve">*(বঙ্গানুবাদ: "ইহা আমাদের প্রধান স্বত্বের যুক্তি নহে; বরং ইহা বিবাদীপক্ষের নিজস্ব জমির পরিমাণের বর্ণনার একটি অভ্যন্তরীণ অসামঞ্জস্যের প্রতিফলন।")*"*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 Hotchpot, পক্ষদোষ ও ১নং রেসপন্ডেন্টের সোলেনামা</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*১. একই দাগ নম্বরের মধ্যে সরকারি খাস জমি পৃথক খতিয়ানে এবং SA ২৩৮-এর জমি পৃথক রেকর্ডীয় পরিচয়ে বিদ্যমান। অতএব শুধু dag number-এর identity দ্বারা উভয় অংশকে একই proprietary pool-এর অংশ হিসেবে গণ্য করা যায় না। The alleged Government land is neither claimed by the plaintiffs nor sought to be partitioned. পৃথক খতিয়ানের জমি বাদ দিলে আংশিক বাটোয়ারার কোনো দোষ ঘটে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pPr>
        <w:ind w:left="720"/>
      </w:pPr>
      <w:r>
        <w:rPr>
          <w:rFonts w:ascii="Kalpurush" w:cs="Kalpurush" w:eastAsia="Kalpurush" w:hAnsi="Kalpurush"/>
          <w:i/>
          <w:iCs/>
          <w:sz w:val="20"/>
          <w:szCs w:val="20"/>
        </w:rPr>
        <w:t xml:space="preserve">*(বঙ্গানুবাদ: "পৃথক খতিয়ান পৃথক প্রজাস্বত্ব সৃষ্টি করে; সংলগ্ন সরকারি জমি বা ভিন্ন খতিয়ানের জমি বাদ দিলে আংশিক বাটোয়ারার কোনো দোষ সৃষ্টি হয় না।")*</w:t>
      </w:r>
    </w:p>
    <w:p>
      <w:r>
        <w:rPr>
          <w:rFonts w:ascii="Kalpurush" w:cs="Kalpurush" w:eastAsia="Kalpurush" w:hAnsi="Kalpurush"/>
        </w:rPr>
        <w:t xml:space="preserve"/>
      </w:r>
    </w:p>
    <w:p>
      <w:r>
        <w:rPr>
          <w:rFonts w:ascii="Kalpurush" w:cs="Kalpurush" w:eastAsia="Kalpurush" w:hAnsi="Kalpurush"/>
          <w:sz w:val="20"/>
          <w:szCs w:val="20"/>
        </w:rPr>
        <w:t xml:space="preserve">*২. প্রাইভেট কো-শেয়ারারদের মধ্যে বাটোয়ারা মামলায় সরকার আবশ্যকীয় পক্ষ নহে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pPr>
        <w:ind w:left="720"/>
      </w:pPr>
      <w:r>
        <w:rPr>
          <w:rFonts w:ascii="Kalpurush" w:cs="Kalpurush" w:eastAsia="Kalpurush" w:hAnsi="Kalpurush"/>
          <w:i/>
          <w:iCs/>
          <w:sz w:val="20"/>
          <w:szCs w:val="20"/>
        </w:rPr>
        <w:t xml:space="preserve">*(বঙ্গানুবাদ: "সহ-অংশীদারদের মধ্যে ব্যক্তিগত বাটোয়ারা মামলায় সরকার আবশ্যকীয় পক্ষ নয়, যেখানে রাষ্ট্রের বিরুদ্ধে কোনো প্রতিকার চাওয়া হয়নি।")*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w:t>
      </w:r>
    </w:p>
    <w:p>
      <w:pPr>
        <w:ind w:left="720"/>
      </w:pPr>
      <w:r>
        <w:rPr>
          <w:rFonts w:ascii="Kalpurush" w:cs="Kalpurush" w:eastAsia="Kalpurush" w:hAnsi="Kalpurush"/>
          <w:i/>
          <w:iCs/>
          <w:sz w:val="20"/>
          <w:szCs w:val="20"/>
        </w:rPr>
        <w:t xml:space="preserve">*(বঙ্গানুবাদ: "বাদ পড়া পক্ষ আবশ্যকীয় পক্ষ না হলে কেবল পক্ষদোষের কারণে বাটোয়ারা মামলা খারিজ হতে পারে না।")*</w:t>
      </w:r>
    </w:p>
    <w:p>
      <w:r>
        <w:rPr>
          <w:rFonts w:ascii="Kalpurush" w:cs="Kalpurush" w:eastAsia="Kalpurush" w:hAnsi="Kalpurush"/>
        </w:rPr>
        <w:t xml:space="preserve"/>
      </w:r>
    </w:p>
    <w:p>
      <w:r>
        <w:rPr>
          <w:rFonts w:ascii="Kalpurush" w:cs="Kalpurush" w:eastAsia="Kalpurush" w:hAnsi="Kalpurush"/>
          <w:sz w:val="20"/>
          <w:szCs w:val="20"/>
        </w:rPr>
        <w:t xml:space="preserve">*৩. ১ নং রেসপন্ডেন্ট সোলায়মান হোসেনের অবস্থান:*</w:t>
      </w:r>
    </w:p>
    <w:p>
      <w:pPr>
        <w:ind w:left="720"/>
      </w:pPr>
      <w:r>
        <w:rPr>
          <w:rFonts w:ascii="Kalpurush" w:cs="Kalpurush" w:eastAsia="Kalpurush" w:hAnsi="Kalpurush"/>
          <w:b/>
          <w:bCs/>
          <w:i/>
          <w:iCs/>
          <w:sz w:val="20"/>
          <w:szCs w:val="20"/>
        </w:rPr>
        <w:t xml:space="preserve">'এখানে contesting defendants-এর একাংশের বিরোধ এবং Abdul Ali-এর বৈধ উত্তরাধিকারীদের অবস্থান এক নয়। ১ নং respondent Solaiman Hossain — Abdul Ali-এর উত্তরাধিকারী — বাটোয়ারায় সম্মতি দিয়েছেন। ফলে আদালতের সামনে প্রকৃত contest মূলত alleged competing title-claimants-এর।'</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 ট্রায়াল কোর্টের সিদ্ধান্ত বনাম আপীল ভুলের তুলনামূলক ছক (Finding vs. Error Matrix)</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সিদ্ধান্ত ও আপীল ভুলসমূহকে নিম্নের তুলনামূলক ছকে স্পষ্টভাবে তুলে ধরা হলো:*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b/>
                <w:bCs/>
                <w:sz w:val="20"/>
                <w:szCs w:val="20"/>
              </w:rPr>
              <w:t xml:space="preserve">Foundation presumed, proved নয়</w:t>
            </w:r>
            <w:r>
              <w:rPr>
                <w:rFonts w:ascii="Kalpurush" w:cs="Kalpurush" w:eastAsia="Kalpurush" w:hAnsi="Kalpurush"/>
                <w:sz w:val="20"/>
                <w:szCs w:val="20"/>
              </w:rPr>
              <w:t xml:space="preserve"> (পাট্টা/কবুলিয়ত বা প্রাথমিক দলিলের অনুপস্থিতি)</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b/>
                <w:bCs/>
                <w:sz w:val="20"/>
                <w:szCs w:val="20"/>
              </w:rPr>
              <w:t xml:space="preserve">Rebutting evidence inadequate</w:t>
            </w:r>
            <w:r>
              <w:rPr>
                <w:rFonts w:ascii="Kalpurush" w:cs="Kalpurush" w:eastAsia="Kalpurush" w:hAnsi="Kalpurush"/>
                <w:sz w:val="20"/>
                <w:szCs w:val="20"/>
              </w:rPr>
              <w:t xml:space="preserve"> (Section 144A-এর সংবিধিবদ্ধ অনুমান অপর্যাপ্ত সাক্ষ্যে খারিজ)</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b/>
                <w:bCs/>
                <w:sz w:val="20"/>
                <w:szCs w:val="20"/>
              </w:rPr>
              <w:t xml:space="preserve">Parent order / source unproved</w:t>
            </w:r>
            <w:r>
              <w:rPr>
                <w:rFonts w:ascii="Kalpurush" w:cs="Kalpurush" w:eastAsia="Kalpurush" w:hAnsi="Kalpurush"/>
                <w:sz w:val="20"/>
                <w:szCs w:val="20"/>
              </w:rPr>
              <w:t xml:space="preserve"> (মূল আদেশনামা বা আইনি উৎস অপ্রমাণিত)</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b/>
                <w:bCs/>
                <w:sz w:val="20"/>
                <w:szCs w:val="20"/>
              </w:rPr>
              <w:t xml:space="preserve">The Trial Court did not sufficiently identify the legal source, provenance, jurisdictional basis and implementation trail of the AC Land entry before relying upon it to displace the finally published SA record.</w:t>
            </w:r>
            <w:r>
              <w:rPr>
                <w:rFonts w:ascii="Kalpurush" w:cs="Kalpurush" w:eastAsia="Kalpurush" w:hAnsi="Kalpurush"/>
                <w:sz w:val="20"/>
                <w:szCs w:val="20"/>
              </w:rPr>
              <w:t xml:space="preserve">&lt;br&gt;*(আইনগত উৎস, এখতিয়ার ও বাস্তবায়ন-ধারাবাহিকতা নির্ধারণ না করিয়াই ভলিউম নোটকে চূড়ান্ত রেকর্ডের উপরে স্থান দেওয়া)*</w:t>
            </w:r>
          </w:p>
        </w:tc>
      </w:tr>
      <w:tr>
        <w:tc>
          <w:p>
            <w:r>
              <w:rPr>
                <w:rFonts w:ascii="Kalpurush" w:cs="Kalpurush" w:eastAsia="Kalpurush" w:hAnsi="Kalpurush"/>
                <w:sz w:val="20"/>
                <w:szCs w:val="20"/>
              </w:rPr>
              <w:t xml:space="preserve">৫. ১৯৭৫ সালের দলিলের বৈপরীত্য উপেক্ষিত</w:t>
            </w:r>
          </w:p>
        </w:tc>
        <w:tc>
          <w:p>
            <w:r>
              <w:rPr>
                <w:rFonts w:ascii="Kalpurush" w:cs="Kalpurush" w:eastAsia="Kalpurush" w:hAnsi="Kalpurush"/>
                <w:b/>
                <w:bCs/>
                <w:sz w:val="20"/>
                <w:szCs w:val="20"/>
              </w:rPr>
              <w:t xml:space="preserve">Material documentary evidence not properly considered</w:t>
            </w:r>
            <w:r>
              <w:rPr>
                <w:rFonts w:ascii="Kalpurush" w:cs="Kalpurush" w:eastAsia="Kalpurush" w:hAnsi="Kalpurush"/>
                <w:sz w:val="20"/>
                <w:szCs w:val="20"/>
              </w:rPr>
              <w:t xml:space="preserve"> (দলিলের ৬ দাগ বনাম ১ দাগের স্ববিরোধিতা এড়ানো)</w:t>
            </w:r>
          </w:p>
        </w:tc>
      </w:tr>
      <w:tr>
        <w:tc>
          <w:p>
            <w:r>
              <w:rPr>
                <w:rFonts w:ascii="Kalpurush" w:cs="Kalpurush" w:eastAsia="Kalpurush" w:hAnsi="Kalpurush"/>
                <w:sz w:val="20"/>
                <w:szCs w:val="20"/>
              </w:rPr>
              <w:t xml:space="preserve">৬. Hotchpot / Non-joinder-এ খারিজ</w:t>
            </w:r>
          </w:p>
        </w:tc>
        <w:tc>
          <w:p>
            <w:r>
              <w:rPr>
                <w:rFonts w:ascii="Kalpurush" w:cs="Kalpurush" w:eastAsia="Kalpurush" w:hAnsi="Kalpurush"/>
                <w:b/>
                <w:bCs/>
                <w:sz w:val="20"/>
                <w:szCs w:val="20"/>
              </w:rPr>
              <w:t xml:space="preserve">Technical objection treated as fatal despite separate khatian/interest</w:t>
            </w:r>
            <w:r>
              <w:rPr>
                <w:rFonts w:ascii="Kalpurush" w:cs="Kalpurush" w:eastAsia="Kalpurush" w:hAnsi="Kalpurush"/>
                <w:sz w:val="20"/>
                <w:szCs w:val="20"/>
              </w:rPr>
              <w:t xml:space="preserve"> (পৃথক খতিয়ান সত্ত্বেও পদ্ধতিগত অজুহাত)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 সমাপনী মৌখিক নিবেদন ও প্রার্থিত প্রতিকার (Closing Prayer)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আমাদের সমাপনী বক্তব্য অত্যন্ত স্পষ্ট ও পরিমিত:*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আমরা আদালতের কাছে কোনো অসম্ভব proposition চাই না। আমরা বলছি না যে SA ২৩৮ ভুল হতে পারে না। আমরা শুধু বলছি — যে পক্ষ বলছে এই record ভুল, পরে সংশোধিত, এবং সেই সংশোধনের মাধ্যমে নতুন substantive interest সৃষ্টি হয়েছে, তাকে অন্তত সেই corrective event-এর legal source, content এবং lawful implementation প্রমাণ করতে হবে।</w:t>
      </w:r>
    </w:p>
    <w:p>
      <w:pPr>
        <w:ind w:left="720"/>
      </w:pPr>
    </w:p>
    <w:p>
      <w:pPr>
        <w:ind w:left="720"/>
      </w:pPr>
      <w:r>
        <w:rPr>
          <w:rFonts w:ascii="Kalpurush" w:cs="Kalpurush" w:eastAsia="Kalpurush" w:hAnsi="Kalpurush"/>
          <w:b/>
          <w:bCs/>
          <w:i/>
          <w:iCs/>
          <w:sz w:val="20"/>
          <w:szCs w:val="20"/>
        </w:rPr>
        <w:t xml:space="preserve">এখানে root tenancy-এর foundational proof অনুপস্থিত; alleged correction order অনুপস্থিত; correction-এর official implementation trail অনুপস্থিত; এবং respondents-এর নিজেদের ১৯৭৫ সালের registered deed তাঁদের present one-dag theory-এর সঙ্গে সাংঘর্ষিক।</w:t>
      </w:r>
    </w:p>
    <w:p>
      <w:pPr>
        <w:ind w:left="720"/>
      </w:pPr>
    </w:p>
    <w:p>
      <w:pPr>
        <w:ind w:left="720"/>
      </w:pPr>
      <w:r>
        <w:rPr>
          <w:rFonts w:ascii="Kalpurush" w:cs="Kalpurush" w:eastAsia="Kalpurush" w:hAnsi="Kalpurush"/>
          <w:b/>
          <w:bCs/>
          <w:i/>
          <w:iCs/>
          <w:sz w:val="20"/>
          <w:szCs w:val="20"/>
        </w:rPr>
        <w:t xml:space="preserve">এই অবস্থায় final SA record-এর statutory presumption অতিক্রম করার মতো reliable evidence তৈরি হয়নি। অতএব impugned judgment cannot safely stand.'</w:t>
      </w:r>
    </w:p>
    <w:p>
      <w:pPr>
        <w:ind w:left="720"/>
      </w:pPr>
    </w:p>
    <w:p>
      <w:pPr>
        <w:ind w:left="720"/>
      </w:pPr>
      <w:r>
        <w:rPr>
          <w:rFonts w:ascii="Kalpurush" w:cs="Kalpurush" w:eastAsia="Kalpurush" w:hAnsi="Kalpurush"/>
          <w:i/>
          <w:iCs/>
          <w:sz w:val="20"/>
          <w:szCs w:val="20"/>
        </w:rPr>
        <w:t xml:space="preserve">*(বঙ্গানুবাদ: "এই পরিস্থিতিতে চূড়ান্ত এসএ রেকর্ডের সংবিধিবদ্ধ অনুমান অতিক্রম করার মতো নির্ভরযোগ্য সাক্ষ্য প্রতিষ্ঠিত হয়নি। অতএব বিচারিক আদালতের খারিজ রায় আইনত বহাল থাকিতে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SA ২৩৮ নং খতিয়ানের ভিত্তিতে আপীল্যান্ট বাদীপক্ষ এবং ১নং রেসপন্ডেন্টের সোলেনামার অনুকূলে নালিশী সম্পত্তিতে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বিকল্পে, একজন বিজ্ঞ Advocate Commissioner নিয়োগ করিয়া সরকারের খাস জমিতে কোনো হস্তক্ষেপ না করিয়া কেবল SA ২৩৮-ভুক্ত সম্পত্তিতে বাদীদের অংশ সরেজমিনে নির্ধারণ ও বণ্টনের ব্যবস্থা করা হউক; এবং</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সার্বিক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2026-08-15T08:17:24.286Z</dcterms:created>
  <dcterms:modified xsi:type="dcterms:W3CDTF">2026-08-15T08:17:24.286Z</dcterms:modified>
</cp:coreProperties>
</file>

<file path=docProps/custom.xml><?xml version="1.0" encoding="utf-8"?>
<Properties xmlns="http://schemas.openxmlformats.org/officeDocument/2006/custom-properties" xmlns:vt="http://schemas.openxmlformats.org/officeDocument/2006/docPropsVTypes"/>
</file>