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84 — Definitive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record-ভুক্ত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গুরুতর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গুরুতর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থিসিস (The Central Thesis)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pPr>
        <w:ind w:left="720"/>
      </w:pPr>
    </w:p>
    <w:p>
      <w:pPr>
        <w:ind w:left="720"/>
      </w:pPr>
      <w:r>
        <w:rPr>
          <w:rFonts w:ascii="Kalpurush" w:cs="Kalpurush" w:eastAsia="Kalpurush" w:hAnsi="Kalpurush"/>
          <w:i/>
          <w:iCs/>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pPr>
        <w:ind w:left="720"/>
      </w:pP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কথিত সংশোধনের ৬টি মৌলিক প্রশ্ন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কথিত Misc Case-এর আদেশ কোথায়?</w:t>
      </w:r>
      <w:r>
        <w:rPr>
          <w:rFonts w:ascii="Kalpurush" w:cs="Kalpurush" w:eastAsia="Kalpurush" w:hAnsi="Kalpurush"/>
          <w:sz w:val="20"/>
          <w:szCs w:val="20"/>
        </w:rPr>
        <w:t xml:space="preserve"> (Where is the parent order?)</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সেই আদেশের সুনির্দিষ্ট বিষয়বস্তু কী ছিল?</w:t>
      </w:r>
      <w:r>
        <w:rPr>
          <w:rFonts w:ascii="Kalpurush" w:cs="Kalpurush" w:eastAsia="Kalpurush" w:hAnsi="Kalpurush"/>
          <w:sz w:val="20"/>
          <w:szCs w:val="20"/>
        </w:rPr>
        <w:t xml:space="preserve"> (What were the exact terms of the order?)</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কোন কর্তৃপক্ষের এখতিয়ারে আদেশটি হয়েছিল?</w:t>
      </w:r>
      <w:r>
        <w:rPr>
          <w:rFonts w:ascii="Kalpurush" w:cs="Kalpurush" w:eastAsia="Kalpurush" w:hAnsi="Kalpurush"/>
          <w:sz w:val="20"/>
          <w:szCs w:val="20"/>
        </w:rPr>
        <w:t xml:space="preserve"> (Under what jurisdiction was it passed?)</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রেকর্ডভুক্ত প্রজা আব্দুল আলীকে নোটিশ দেওয়া হয়েছিল কি?</w:t>
      </w:r>
      <w:r>
        <w:rPr>
          <w:rFonts w:ascii="Kalpurush" w:cs="Kalpurush" w:eastAsia="Kalpurush" w:hAnsi="Kalpurush"/>
          <w:sz w:val="20"/>
          <w:szCs w:val="20"/>
        </w:rPr>
        <w:t xml:space="preserve"> (Was notice served upon the recorded tenant?)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সেই আদেশ কীভাবে Register of Alterations-এ implemented হয়েছিল?</w:t>
      </w:r>
      <w:r>
        <w:rPr>
          <w:rFonts w:ascii="Kalpurush" w:cs="Kalpurush" w:eastAsia="Kalpurush" w:hAnsi="Kalpurush"/>
          <w:sz w:val="20"/>
          <w:szCs w:val="20"/>
        </w:rPr>
        <w:t xml:space="preserve"> (How was it implemented in official records?)</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সংশোধিত SA ২৩৮ নং খতিয়ানের সইমোহরি কপি কোথায়?</w:t>
      </w:r>
      <w:r>
        <w:rPr>
          <w:rFonts w:ascii="Kalpurush" w:cs="Kalpurush" w:eastAsia="Kalpurush" w:hAnsi="Kalpurush"/>
          <w:sz w:val="20"/>
          <w:szCs w:val="20"/>
        </w:rPr>
        <w:t xml:space="preserve"> (Where is the certified copy of the corrected SA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সেটেলমেন্ট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সোনাভানুর নামে কোনো recorded co-sharership প্রতিফলিত হয় নাই</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আপীল্যান্টপক্ষের কৌশলগত বিকল্প যুক্তি (The Strategic Fallback Argument)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that assumption does not by itself prove that Abdul Ali’s finally published SA entry was wrong or that Sona Bhanu subsequently acquired a legally effective interest in SA 238."</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প্রাক-SA আমলে আব্দুল করিমের কোনো স্বত্ব বা অধিকার ছিল, তবুও সেই অনুমান নিজে থেকেই প্রমাণ করে না যে চূড়ান্ত প্রকাশিত SA ২৩৮-এ আব্দুল আলীর একক রেকর্ড ভুল ছিল কিংবা পরবর্তীতে সোনাভানু SA ২৩৮-এ আইনত কার্যকর কোনো অংশ বা স্বত্ব অর্জন করেছিলেন।")*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The Trial Court did not sufficiently identify the legal source, provenance, jurisdictional basis and implementation trail of the AC Land entry before relying upon it to displace the finally published SA record.</w:t>
            </w:r>
            <w:r>
              <w:rPr>
                <w:rFonts w:ascii="Kalpurush" w:cs="Kalpurush" w:eastAsia="Kalpurush" w:hAnsi="Kalpurush"/>
                <w:sz w:val="20"/>
                <w:szCs w:val="20"/>
              </w:rPr>
              <w:t xml:space="preserve">&lt;br&gt;*(আইনগত উৎস, এখতিয়ার ও বাস্তবায়ন-ধারাবাহিকতা নির্ধারণ না করিয়াই ভলিউম নোটকে চূড়ান্ত রেকর্ডের উপরে স্থান দেওয়া)*</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গুরুতর দালিলিক বৈপরীত্য।"*</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একই দাগে সরকারি জমি পৃথক খতিয়ানে আছে।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এন্ট্রির provenance ব্যাখ্যা বা underlying record দেখাতে সক্ষম হননি।"*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 (Final Closing Submission &amp;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2026-08-15T08:17:24.318Z</dcterms:created>
  <dcterms:modified xsi:type="dcterms:W3CDTF">2026-08-15T08:17:24.318Z</dcterms:modified>
</cp:coreProperties>
</file>

<file path=docProps/custom.xml><?xml version="1.0" encoding="utf-8"?>
<Properties xmlns="http://schemas.openxmlformats.org/officeDocument/2006/custom-properties" xmlns:vt="http://schemas.openxmlformats.org/officeDocument/2006/docPropsVTypes"/>
</file>