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শুনানি সহায়িকা (Version 78 — Court-Ready Oral Hearing Aid &amp; Summary with Bengali Translations)</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সরাসরি পাঠযোগ্য রোডম্যাপ (5-Minute Oral Hearing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State Recognition):</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আমাদের প্রমাণের কেন্দ্রবিন্দু হলো রাষ্ট্রের Estate Acquisition-পরবর্তী State Recognition এবং finally published SA Record। CS ২ নং খতিয়ানে নালিশী জমি কোনো ব্যক্তিগত রায়তি নামে রেকর্ডভুক্ত ছিল না; জমিটি নবাব এস্টেটের খাস হিসেবে প্রতিফলিত। রাষ্ট্র ১৯৫২ সালে জমিদারী অধিগ্রহণ করিয়া নিজস্ব জরিপ কার্যক্রমে আব্দুল আলীকে একক রায়ত হিসেবে রেকর্ড করিয়াছে এবং জেলা প্রশাসকের সেন্ট্রাল রেকর্ড রুমে আজও সেই সরকারি মূল রেকর্ড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Legal Formulation):</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(বঙ্গানুবাদ: আমরা বলছি না যে চূড়ান্তভাবে প্রকাশিত এসএ রেকর্ড কখনো ভুল হতে পারে না। আমরা বলছি যে পক্ষ ভুল বা পরবর্তী সংশোধন দাবি করছে, তাকেই নির্ভরযোগ্য সাক্ষ্য দ্বারা তা প্রমাণ করতে হবে।) SAT Act-এর ধারা ১৪৪A অনুযায়ী Record of Rights-এর presumption হলো rebuttable; কিন্তু সেই অনুমান খণ্ডন করিতে হইলে challenger-কে positive ও reliable evidence দাখিল করিতে হইবে (50 DLR 186; 56 DLR (AD) 53; 10 BLT (AD) 105)। বাদীপক্ষ সইমোহরি খতিয়ান (প্রদর্শনী-৪) দাখিল করিয়া Initial Burden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volume entry দেখাইয়াছে — কিন্তু যে আদেশের ভিত্তিতে entry-টি allegedly তৈরি, সেই আদেশ কোথায়? কথিত ১১৮১/১৯৬৯ Misc Case-এর existence, contents, jurisdiction, legal effect এবং implementation (Register of Alterations) — এই পাঁচটির কোনো প্রাতিষ্ঠানিক প্রমাণ রেকর্ডে নাই। বিবাদীরা মূল রেকর্ডও তলব করান নাই। মূল আদেশ (Parent Order) অপ্রমাণিত থাকিলে সহকারী কমিশনার (ভূমি) অফিসের একটি ভলিউম নোট নিজে থেকে স্বত্ব প্রমাণ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জমি হস্তান্তর করা হইয়াছে! If the alleged 1969 correction had reduced the SA 238 holding to one dag, why does the respondents' own registered deed of 1975 describe six dags under the same khatian? (বঙ্গানুবাদ: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 এই অখণ্ডনীয় দালিলিক বৈপরীত্য কথিত সংশোধন তত্ত্বের গ্রহণযোগ্যতা সম্পর্কে গুরুতর সন্দেহ সৃষ্টি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করিয়াছেন, (২) অপ্রমাণিত Misc Case-এর আইনি ফলাফল প্রতিষ্ঠিত ধরে নিয়েছেন, (৩) সহকারী কমিশনার (ভূমি) অফিসের অধীনস্থ ভলিউম নোটকে মূল রেকর্ড রুমের সংবিধিবদ্ধ রেকর্ডের উপরে স্থান দিয়েছেন, এবং (৪) নিজস্ব দলিলের অখণ্ডনীয়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আদালতের সামনে প্রারম্ভিক কেন্দ্রীয় প্রশ্ন (The Central Question)</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"প্রকৃত প্রশ্ন হলো — যিনি SA ২৩৮ ভুল বলছেন, তিনি সেই ভুল বা correction-এর আইনগত source কোথায় প্রমাণ করেছেন?"</w:t>
      </w:r>
    </w:p>
    <w:p>
      <w:pPr>
        <w:ind w:left="720"/>
      </w:pPr>
    </w:p>
    <w:p>
      <w:pPr>
        <w:ind w:left="720"/>
      </w:pPr>
      <w:r>
        <w:rPr>
          <w:rFonts w:ascii="Kalpurush" w:cs="Kalpurush" w:eastAsia="Kalpurush" w:hAnsi="Kalpurush"/>
          <w:b/>
          <w:bCs/>
          <w:i/>
          <w:iCs/>
          <w:sz w:val="20"/>
          <w:szCs w:val="20"/>
        </w:rPr>
        <w:t xml:space="preserve">আমাদের বিনীত উত্তর — "প্রয়োজনীয় primary and reliable documentary evidence সেখানে অনুপস্থিত।"</w:t>
      </w:r>
    </w:p>
    <w:p>
      <w:pPr>
        <w:ind w:left="720"/>
      </w:pP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p>
    <w:p>
      <w:pPr>
        <w:ind w:left="720"/>
      </w:pPr>
      <w:r>
        <w:rPr>
          <w:rFonts w:ascii="Kalpurush" w:cs="Kalpurush" w:eastAsia="Kalpurush" w:hAnsi="Kalpurush"/>
          <w:i/>
          <w:iCs/>
          <w:sz w:val="20"/>
          <w:szCs w:val="20"/>
        </w:rPr>
        <w:t xml:space="preserve">*(বঙ্গানুবাদ: "আমরা আদালতকে চূড়ান্তভাবে প্রকাশিত এসএ রেকর্ড কখনো ভুল হতে পারে না—এমন সিদ্ধান্ত দিতে বলছি না। আমরা আদালতকে বিনীতভাবে বলছি যে পক্ষ ওই রেকর্ডকে চ্যালেঞ্জ করছে, তাদের কাছে প্রমাণ চাইতে যে কীভাবে, কখন এবং কোন বৈধ দলিলের মাধ্যমে সেই রেকর্ড অপসারিত হয়েছিল।")*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আপীলের কেন্দ্রীয় প্রমাণের ধারাবাহিকতা (The 6-Step Burden Sequence)</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প্রথম প্রশ্ন — আব্দুল করিম কি প্রতিষ্ঠিত রায়ত ছিলেন?</w:t>
      </w:r>
    </w:p>
    <w:p>
      <w:r>
        <w:rPr>
          <w:rFonts w:ascii="Kalpurush" w:cs="Kalpurush" w:eastAsia="Kalpurush" w:hAnsi="Kalpurush"/>
          <w:sz w:val="20"/>
          <w:szCs w:val="20"/>
        </w:rPr>
        <w:t xml:space="preserve">   CS ২ খতিয়ানে private raiyat নেই; কথিত ১৯৩৪ পত্তনের primary document অনুপস্থিত।</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দ্বিতীয় প্রশ্ন — রাষ্ট্র SA জরিপে কাকে রেকর্ড করল?</w:t>
      </w:r>
    </w:p>
    <w:p>
      <w:r>
        <w:rPr>
          <w:rFonts w:ascii="Kalpurush" w:cs="Kalpurush" w:eastAsia="Kalpurush" w:hAnsi="Kalpurush"/>
          <w:sz w:val="20"/>
          <w:szCs w:val="20"/>
        </w:rPr>
        <w:t xml:space="preserve">   SA ২৩৮ — আব্দুল আলী, ১৬ আনা। ধারা ১৪৪A অনুযায়ী entry সংবিধিবদ্ধ presumption বহন করে।</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তৃতীয় প্রশ্ন — আব্দুল আলীর রেকর্ড ভুল — এই দাবি কে করছে?</w:t>
      </w:r>
    </w:p>
    <w:p>
      <w:r>
        <w:rPr>
          <w:rFonts w:ascii="Kalpurush" w:cs="Kalpurush" w:eastAsia="Kalpurush" w:hAnsi="Kalpurush"/>
          <w:sz w:val="20"/>
          <w:szCs w:val="20"/>
        </w:rPr>
        <w:t xml:space="preserve">   বিবাদীপক্ষ। অতএব কী ভুল, কেন ভুল, কোন আদেশে সংশোধন — তাহা প্রমাণের ভার বিবাদীদের।</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চতুর্থ প্রশ্ন — কথিত সংশোধনের আইনি উৎস (Legal Source) কোথায়?</w:t>
      </w:r>
    </w:p>
    <w:p>
      <w:r>
        <w:rPr>
          <w:rFonts w:ascii="Kalpurush" w:cs="Kalpurush" w:eastAsia="Kalpurush" w:hAnsi="Kalpurush"/>
          <w:sz w:val="20"/>
          <w:szCs w:val="20"/>
        </w:rPr>
        <w:t xml:space="preserve">   ১৯৬৯ সালের Misc Case-এর কোনো Parent Order, Judgment বা Record নেই।</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পঞ্চম প্রশ্ন — AC Land ভলিউম নোটের উৎস কী?</w:t>
      </w:r>
    </w:p>
    <w:p>
      <w:r>
        <w:rPr>
          <w:rFonts w:ascii="Kalpurush" w:cs="Kalpurush" w:eastAsia="Kalpurush" w:hAnsi="Kalpurush"/>
          <w:sz w:val="20"/>
          <w:szCs w:val="20"/>
        </w:rPr>
        <w:t xml:space="preserve">   DW-4 এন্ট্রির provenance প্রমাণ করতে পারেননি; মূল জেলা রেকর্ড রুম অপরিবর্তিত।</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ষষ্ঠ প্রশ্ন — বিবাদীদের নিজেদের পরবর্তী দালিলিক আচরণ কী বলে?</w:t>
      </w:r>
    </w:p>
    <w:p>
      <w:r>
        <w:rPr>
          <w:rFonts w:ascii="Kalpurush" w:cs="Kalpurush" w:eastAsia="Kalpurush" w:hAnsi="Kalpurush"/>
          <w:sz w:val="20"/>
          <w:szCs w:val="20"/>
        </w:rPr>
        <w:t xml:space="preserve">   ১৯৭৫ সালের Deed No. 3596-এ SA ২৩৮-এর অধীনে ৬টি দাগের বর্ণনা — যা তাদের ১-দাগের সংশোধন তত্ত্বের সাথে সরাসরি সাংঘর্ষিক।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The State Record and Its Documentary Corroboration</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উপাদান</w:t>
            </w:r>
          </w:p>
        </w:tc>
        <w:tc>
          <w:p>
            <w:r>
              <w:rPr>
                <w:rFonts w:ascii="Kalpurush" w:cs="Kalpurush" w:eastAsia="Kalpurush" w:hAnsi="Kalpurush"/>
                <w:sz w:val="20"/>
                <w:szCs w:val="20"/>
              </w:rPr>
              <w:t xml:space="preserve">আইনি তাৎপর্য</w:t>
            </w:r>
          </w:p>
        </w:tc>
        <w:tc>
          <w:p>
            <w:r>
              <w:rPr>
                <w:rFonts w:ascii="Kalpurush" w:cs="Kalpurush" w:eastAsia="Kalpurush" w:hAnsi="Kalpurush"/>
                <w:sz w:val="20"/>
                <w:szCs w:val="20"/>
              </w:rPr>
              <w:t xml:space="preserve">আদালতে উপস্থাপিত অবস্থান</w:t>
            </w:r>
          </w:p>
        </w:tc>
      </w:tr>
      <w:tr>
        <w:tc>
          <w:p>
            <w:r>
              <w:rPr>
                <w:rFonts w:ascii="Kalpurush" w:cs="Kalpurush" w:eastAsia="Kalpurush" w:hAnsi="Kalpurush"/>
                <w:b/>
                <w:bCs/>
                <w:sz w:val="20"/>
                <w:szCs w:val="20"/>
              </w:rPr>
              <w:t xml:space="preserve">১. State Record:</w:t>
            </w:r>
            <w:r>
              <w:rPr>
                <w:rFonts w:ascii="Kalpurush" w:cs="Kalpurush" w:eastAsia="Kalpurush" w:hAnsi="Kalpurush"/>
                <w:sz w:val="20"/>
                <w:szCs w:val="20"/>
              </w:rPr>
              <w:t xml:space="preserve"> SA ২৩৮ খতিয়ান (প্রদর্শনী-৪)</w:t>
            </w:r>
          </w:p>
        </w:tc>
        <w:tc>
          <w:p>
            <w:r>
              <w:rPr>
                <w:rFonts w:ascii="Kalpurush" w:cs="Kalpurush" w:eastAsia="Kalpurush" w:hAnsi="Kalpurush"/>
                <w:sz w:val="20"/>
                <w:szCs w:val="20"/>
              </w:rPr>
              <w:t xml:space="preserve">আব্দুল আলী ১৬ আনা একক রায়ত</w:t>
            </w:r>
          </w:p>
        </w:tc>
        <w:tc>
          <w:p>
            <w:r>
              <w:rPr>
                <w:rFonts w:ascii="Kalpurush" w:cs="Kalpurush" w:eastAsia="Kalpurush" w:hAnsi="Kalpurush"/>
                <w:sz w:val="20"/>
                <w:szCs w:val="20"/>
              </w:rPr>
              <w:t xml:space="preserve">চূড়ান্ত প্রকাশিত সংবিধিবদ্ধ রেকর্ড; জেলা রেকর্ড রুমে আজও অপরিবর্তিত</w:t>
            </w:r>
          </w:p>
        </w:tc>
      </w:tr>
      <w:tr>
        <w:tc>
          <w:p>
            <w:r>
              <w:rPr>
                <w:rFonts w:ascii="Kalpurush" w:cs="Kalpurush" w:eastAsia="Kalpurush" w:hAnsi="Kalpurush"/>
                <w:b/>
                <w:bCs/>
                <w:sz w:val="20"/>
                <w:szCs w:val="20"/>
              </w:rPr>
              <w:t xml:space="preserve">২. Contemporaneous Deed:</w:t>
            </w:r>
            <w:r>
              <w:rPr>
                <w:rFonts w:ascii="Kalpurush" w:cs="Kalpurush" w:eastAsia="Kalpurush" w:hAnsi="Kalpurush"/>
                <w:sz w:val="20"/>
                <w:szCs w:val="20"/>
              </w:rPr>
              <w:t xml:space="preserve"> ১৯৫৭ সালের দলিল ২৩৯৮ (প্রদর্শনী-২)</w:t>
            </w:r>
          </w:p>
        </w:tc>
        <w:tc>
          <w:p>
            <w:r>
              <w:rPr>
                <w:rFonts w:ascii="Kalpurush" w:cs="Kalpurush" w:eastAsia="Kalpurush" w:hAnsi="Kalpurush"/>
                <w:sz w:val="20"/>
                <w:szCs w:val="20"/>
              </w:rPr>
              <w:t xml:space="preserve">সমসাময়িক প্রকাশ্য নিবন্ধিত সম্পত্তিগত সম্পর্ক</w:t>
            </w:r>
          </w:p>
        </w:tc>
        <w:tc>
          <w:p>
            <w:r>
              <w:rPr>
                <w:rFonts w:ascii="Kalpurush" w:cs="Kalpurush" w:eastAsia="Kalpurush" w:hAnsi="Kalpurush"/>
                <w:sz w:val="20"/>
                <w:szCs w:val="20"/>
              </w:rPr>
              <w:t xml:space="preserve">SA জরিপকালীন সমসাময়িক দলিল; ৩ নং দাগ SA ২৩৮-এর অন্তর্ভুক্ত জমিরই অংশ</w:t>
            </w:r>
          </w:p>
        </w:tc>
      </w:tr>
      <w:tr>
        <w:tc>
          <w:p>
            <w:r>
              <w:rPr>
                <w:rFonts w:ascii="Kalpurush" w:cs="Kalpurush" w:eastAsia="Kalpurush" w:hAnsi="Kalpurush"/>
                <w:b/>
                <w:bCs/>
                <w:sz w:val="20"/>
                <w:szCs w:val="20"/>
              </w:rPr>
              <w:t xml:space="preserve">৩. Institutional Continuity:</w:t>
            </w:r>
            <w:r>
              <w:rPr>
                <w:rFonts w:ascii="Kalpurush" w:cs="Kalpurush" w:eastAsia="Kalpurush" w:hAnsi="Kalpurush"/>
                <w:sz w:val="20"/>
                <w:szCs w:val="20"/>
              </w:rPr>
              <w:t xml:space="preserve"> District Record Room</w:t>
            </w:r>
          </w:p>
        </w:tc>
        <w:tc>
          <w:p>
            <w:r>
              <w:rPr>
                <w:rFonts w:ascii="Kalpurush" w:cs="Kalpurush" w:eastAsia="Kalpurush" w:hAnsi="Kalpurush"/>
                <w:sz w:val="20"/>
                <w:szCs w:val="20"/>
              </w:rPr>
              <w:t xml:space="preserve">৫০ বছরের অবিচ্ছিন্ন ধারাবাহিকতা</w:t>
            </w:r>
          </w:p>
        </w:tc>
        <w:tc>
          <w:p>
            <w:r>
              <w:rPr>
                <w:rFonts w:ascii="Kalpurush" w:cs="Kalpurush" w:eastAsia="Kalpurush" w:hAnsi="Kalpurush"/>
                <w:sz w:val="20"/>
                <w:szCs w:val="20"/>
              </w:rPr>
              <w:t xml:space="preserve">কোনো Alteration Entry নাই; মূল সরকারি রেকর্ড অক্ষত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Kalpurush" w:cs="Kalpurush" w:eastAsia="Kalpurush" w:hAnsi="Kalpurush"/>
                <w:sz w:val="20"/>
                <w:szCs w:val="20"/>
              </w:rPr>
              <w:t xml:space="preserve">Trial Court finding (বিচারিক আদালতের সিদ্ধান্ত)</w:t>
            </w:r>
          </w:p>
        </w:tc>
        <w:tc>
          <w:p>
            <w:r>
              <w:rPr>
                <w:rFonts w:ascii="Kalpurush" w:cs="Kalpurush" w:eastAsia="Kalpurush" w:hAnsi="Kalpurush"/>
                <w:sz w:val="20"/>
                <w:szCs w:val="20"/>
              </w:rPr>
              <w:t xml:space="preserve">যে ভিত্তিতে finding (সিদ্ধান্তের কথিত ভিত্তি)</w:t>
            </w:r>
          </w:p>
        </w:tc>
        <w:tc>
          <w:p>
            <w:r>
              <w:rPr>
                <w:rFonts w:ascii="Kalpurush" w:cs="Kalpurush" w:eastAsia="Kalpurush" w:hAnsi="Kalpurush"/>
                <w:sz w:val="20"/>
                <w:szCs w:val="20"/>
              </w:rPr>
              <w:t xml:space="preserve">মূল ঘাটতি (Evidentiary Gap)</w:t>
            </w:r>
          </w:p>
        </w:tc>
        <w:tc>
          <w:p>
            <w:r>
              <w:rPr>
                <w:rFonts w:ascii="Kalpurush" w:cs="Kalpurush" w:eastAsia="Kalpurush" w:hAnsi="Kalpurush"/>
                <w:sz w:val="20"/>
                <w:szCs w:val="20"/>
              </w:rPr>
              <w:t xml:space="preserve">Appellate error (আপীল আদালতের দৃষ্টিতে ভুল)</w:t>
            </w:r>
          </w:p>
        </w:tc>
      </w:tr>
      <w:tr>
        <w:tc>
          <w:p>
            <w:r>
              <w:rPr>
                <w:rFonts w:ascii="Kalpurush" w:cs="Kalpurush" w:eastAsia="Kalpurush" w:hAnsi="Kalpurush"/>
                <w:sz w:val="20"/>
                <w:szCs w:val="20"/>
              </w:rPr>
              <w:t xml:space="preserve">১. আব্দুল করিম ছিল root raiyat</w:t>
            </w:r>
          </w:p>
        </w:tc>
        <w:tc>
          <w:p>
            <w:r>
              <w:rPr>
                <w:rFonts w:ascii="Kalpurush" w:cs="Kalpurush" w:eastAsia="Kalpurush" w:hAnsi="Kalpurush"/>
                <w:sz w:val="20"/>
                <w:szCs w:val="20"/>
              </w:rPr>
              <w:t xml:space="preserve">Alleged 1934 settlement</w:t>
            </w:r>
          </w:p>
        </w:tc>
        <w:tc>
          <w:p>
            <w:r>
              <w:rPr>
                <w:rFonts w:ascii="Kalpurush" w:cs="Kalpurush" w:eastAsia="Kalpurush" w:hAnsi="Kalpurush"/>
                <w:sz w:val="20"/>
                <w:szCs w:val="20"/>
              </w:rPr>
              <w:t xml:space="preserve">Primary foundation নেই (পাট্টা/কবুলিয়ত নেই)</w:t>
            </w:r>
          </w:p>
        </w:tc>
        <w:tc>
          <w:p>
            <w:r>
              <w:rPr>
                <w:rFonts w:ascii="Kalpurush" w:cs="Kalpurush" w:eastAsia="Kalpurush" w:hAnsi="Kalpurush"/>
                <w:b/>
                <w:bCs/>
                <w:sz w:val="20"/>
                <w:szCs w:val="20"/>
              </w:rPr>
              <w:t xml:space="preserve">Assumption treated as proof</w:t>
            </w:r>
            <w:r>
              <w:rPr>
                <w:rFonts w:ascii="Kalpurush" w:cs="Kalpurush" w:eastAsia="Kalpurush" w:hAnsi="Kalpurush"/>
                <w:sz w:val="20"/>
                <w:szCs w:val="20"/>
              </w:rPr>
              <w:t xml:space="preserve"> (অনুমানকে প্রমাণ হিসেবে গ্রহণ)</w:t>
            </w:r>
          </w:p>
        </w:tc>
      </w:tr>
      <w:tr>
        <w:tc>
          <w:p>
            <w:r>
              <w:rPr>
                <w:rFonts w:ascii="Kalpurush" w:cs="Kalpurush" w:eastAsia="Kalpurush" w:hAnsi="Kalpurush"/>
                <w:sz w:val="20"/>
                <w:szCs w:val="20"/>
              </w:rPr>
              <w:t xml:space="preserve">২. SA ২৩৮ ভুল</w:t>
            </w:r>
          </w:p>
        </w:tc>
        <w:tc>
          <w:p>
            <w:r>
              <w:rPr>
                <w:rFonts w:ascii="Kalpurush" w:cs="Kalpurush" w:eastAsia="Kalpurush" w:hAnsi="Kalpurush"/>
                <w:sz w:val="20"/>
                <w:szCs w:val="20"/>
              </w:rPr>
              <w:t xml:space="preserve">Alleged correction theory</w:t>
            </w:r>
          </w:p>
        </w:tc>
        <w:tc>
          <w:p>
            <w:r>
              <w:rPr>
                <w:rFonts w:ascii="Kalpurush" w:cs="Kalpurush" w:eastAsia="Kalpurush" w:hAnsi="Kalpurush"/>
                <w:sz w:val="20"/>
                <w:szCs w:val="20"/>
              </w:rPr>
              <w:t xml:space="preserve">Rebutting documentary proof নেই</w:t>
            </w:r>
          </w:p>
        </w:tc>
        <w:tc>
          <w:p>
            <w:r>
              <w:rPr>
                <w:rFonts w:ascii="Kalpurush" w:cs="Kalpurush" w:eastAsia="Kalpurush" w:hAnsi="Kalpurush"/>
                <w:b/>
                <w:bCs/>
                <w:sz w:val="20"/>
                <w:szCs w:val="20"/>
              </w:rPr>
              <w:t xml:space="preserve">Section 144A presumption improperly displaced</w:t>
            </w:r>
            <w:r>
              <w:rPr>
                <w:rFonts w:ascii="Kalpurush" w:cs="Kalpurush" w:eastAsia="Kalpurush" w:hAnsi="Kalpurush"/>
                <w:sz w:val="20"/>
                <w:szCs w:val="20"/>
              </w:rPr>
              <w:t xml:space="preserve"> (সংবিধিবদ্ধ অনুমান বেআইনিভাবে খারিজ)</w:t>
            </w:r>
          </w:p>
        </w:tc>
      </w:tr>
      <w:tr>
        <w:tc>
          <w:p>
            <w:r>
              <w:rPr>
                <w:rFonts w:ascii="Kalpurush" w:cs="Kalpurush" w:eastAsia="Kalpurush" w:hAnsi="Kalpurush"/>
                <w:sz w:val="20"/>
                <w:szCs w:val="20"/>
              </w:rPr>
              <w:t xml:space="preserve">৩. ১৯৬৯ সালের correction কার্যকর</w:t>
            </w:r>
          </w:p>
        </w:tc>
        <w:tc>
          <w:p>
            <w:r>
              <w:rPr>
                <w:rFonts w:ascii="Kalpurush" w:cs="Kalpurush" w:eastAsia="Kalpurush" w:hAnsi="Kalpurush"/>
                <w:sz w:val="20"/>
                <w:szCs w:val="20"/>
              </w:rPr>
              <w:t xml:space="preserve">AC Land volume entry</w:t>
            </w:r>
          </w:p>
        </w:tc>
        <w:tc>
          <w:p>
            <w:r>
              <w:rPr>
                <w:rFonts w:ascii="Kalpurush" w:cs="Kalpurush" w:eastAsia="Kalpurush" w:hAnsi="Kalpurush"/>
                <w:sz w:val="20"/>
                <w:szCs w:val="20"/>
              </w:rPr>
              <w:t xml:space="preserve">Parent order নেই (মূল বিচারিক আদেশ অনুপস্থিত)</w:t>
            </w:r>
          </w:p>
        </w:tc>
        <w:tc>
          <w:p>
            <w:r>
              <w:rPr>
                <w:rFonts w:ascii="Kalpurush" w:cs="Kalpurush" w:eastAsia="Kalpurush" w:hAnsi="Kalpurush"/>
                <w:b/>
                <w:bCs/>
                <w:sz w:val="20"/>
                <w:szCs w:val="20"/>
              </w:rPr>
              <w:t xml:space="preserve">Consequential entry treated as foundational evidence</w:t>
            </w:r>
            <w:r>
              <w:rPr>
                <w:rFonts w:ascii="Kalpurush" w:cs="Kalpurush" w:eastAsia="Kalpurush" w:hAnsi="Kalpurush"/>
                <w:sz w:val="20"/>
                <w:szCs w:val="20"/>
              </w:rPr>
              <w:t xml:space="preserve"> (আনুষঙ্গিক নোটকে মূল ভিত্তি মান্য করা)</w:t>
            </w:r>
          </w:p>
        </w:tc>
      </w:tr>
      <w:tr>
        <w:tc>
          <w:p>
            <w:r>
              <w:rPr>
                <w:rFonts w:ascii="Kalpurush" w:cs="Kalpurush" w:eastAsia="Kalpurush" w:hAnsi="Kalpurush"/>
                <w:sz w:val="20"/>
                <w:szCs w:val="20"/>
              </w:rPr>
              <w:t xml:space="preserve">৪. সোনাভানু interest পেয়েছে</w:t>
            </w:r>
          </w:p>
        </w:tc>
        <w:tc>
          <w:p>
            <w:r>
              <w:rPr>
                <w:rFonts w:ascii="Kalpurush" w:cs="Kalpurush" w:eastAsia="Kalpurush" w:hAnsi="Kalpurush"/>
                <w:sz w:val="20"/>
                <w:szCs w:val="20"/>
              </w:rPr>
              <w:t xml:space="preserve">Alleged correction</w:t>
            </w:r>
          </w:p>
        </w:tc>
        <w:tc>
          <w:p>
            <w:r>
              <w:rPr>
                <w:rFonts w:ascii="Kalpurush" w:cs="Kalpurush" w:eastAsia="Kalpurush" w:hAnsi="Kalpurush"/>
                <w:sz w:val="20"/>
                <w:szCs w:val="20"/>
              </w:rPr>
              <w:t xml:space="preserve">Legal transmission not established</w:t>
            </w:r>
          </w:p>
        </w:tc>
        <w:tc>
          <w:p>
            <w:r>
              <w:rPr>
                <w:rFonts w:ascii="Kalpurush" w:cs="Kalpurush" w:eastAsia="Kalpurush" w:hAnsi="Kalpurush"/>
                <w:b/>
                <w:bCs/>
                <w:sz w:val="20"/>
                <w:szCs w:val="20"/>
              </w:rPr>
              <w:t xml:space="preserve">Derivative title assumed</w:t>
            </w:r>
            <w:r>
              <w:rPr>
                <w:rFonts w:ascii="Kalpurush" w:cs="Kalpurush" w:eastAsia="Kalpurush" w:hAnsi="Kalpurush"/>
                <w:sz w:val="20"/>
                <w:szCs w:val="20"/>
              </w:rPr>
              <w:t xml:space="preserve"> (অপ্রমাণিত স্থানান্তরের ভিত্তিতে স্বত্ব অনুমান)</w:t>
            </w:r>
          </w:p>
        </w:tc>
      </w:tr>
      <w:tr>
        <w:tc>
          <w:p>
            <w:r>
              <w:rPr>
                <w:rFonts w:ascii="Kalpurush" w:cs="Kalpurush" w:eastAsia="Kalpurush" w:hAnsi="Kalpurush"/>
                <w:sz w:val="20"/>
                <w:szCs w:val="20"/>
              </w:rPr>
              <w:t xml:space="preserve">৫. Hotchpot defect</w:t>
            </w:r>
          </w:p>
        </w:tc>
        <w:tc>
          <w:p>
            <w:r>
              <w:rPr>
                <w:rFonts w:ascii="Kalpurush" w:cs="Kalpurush" w:eastAsia="Kalpurush" w:hAnsi="Kalpurush"/>
                <w:sz w:val="20"/>
                <w:szCs w:val="20"/>
              </w:rPr>
              <w:t xml:space="preserve">Same dag number</w:t>
            </w:r>
          </w:p>
        </w:tc>
        <w:tc>
          <w:p>
            <w:r>
              <w:rPr>
                <w:rFonts w:ascii="Kalpurush" w:cs="Kalpurush" w:eastAsia="Kalpurush" w:hAnsi="Kalpurush"/>
                <w:sz w:val="20"/>
                <w:szCs w:val="20"/>
              </w:rPr>
              <w:t xml:space="preserve">Separate khatian/interest (পৃথক খতিয়ান)</w:t>
            </w:r>
          </w:p>
        </w:tc>
        <w:tc>
          <w:p>
            <w:r>
              <w:rPr>
                <w:rFonts w:ascii="Kalpurush" w:cs="Kalpurush" w:eastAsia="Kalpurush" w:hAnsi="Kalpurush"/>
                <w:b/>
                <w:bCs/>
                <w:sz w:val="20"/>
                <w:szCs w:val="20"/>
              </w:rPr>
              <w:t xml:space="preserve">Technical objection overstated</w:t>
            </w:r>
            <w:r>
              <w:rPr>
                <w:rFonts w:ascii="Kalpurush" w:cs="Kalpurush" w:eastAsia="Kalpurush" w:hAnsi="Kalpurush"/>
                <w:sz w:val="20"/>
                <w:szCs w:val="20"/>
              </w:rPr>
              <w:t xml:space="preserve"> (পদ্ধতিগত বিষয়কে অতিরঞ্জিত করে মামলা খারিজ)</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আর্গুমেন্টে পাঠযোগ্য প্রধান নজিরের সুনির্দিষ্ট উদ্ধৃতি ও বঙ্গানুবাদ (Verbatim Authority Quotes)</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আদালতের সামনে সরাসরি পাঠযোগ্য উদ্ধৃতি ও বঙ্গানুবাদ</w:t>
            </w:r>
          </w:p>
        </w:tc>
      </w:tr>
      <w:tr>
        <w:tc>
          <w:p>
            <w:r>
              <w:rPr>
                <w:rFonts w:ascii="Kalpurush" w:cs="Kalpurush" w:eastAsia="Kalpurush" w:hAnsi="Kalpurush"/>
                <w:b/>
                <w:bCs/>
                <w:sz w:val="20"/>
                <w:szCs w:val="20"/>
              </w:rPr>
              <w:t xml:space="preserve">50 DLR 186</w:t>
            </w:r>
            <w:r>
              <w:rPr>
                <w:rFonts w:ascii="Kalpurush" w:cs="Kalpurush" w:eastAsia="Kalpurush" w:hAnsi="Kalpurush"/>
                <w:sz w:val="20"/>
                <w:szCs w:val="20"/>
              </w:rPr>
              <w:t xml:space="preserve"> *(Dayal Chandra Mondal)*</w:t>
            </w:r>
          </w:p>
        </w:tc>
        <w:tc>
          <w:p>
            <w:r>
              <w:rPr>
                <w:rFonts w:ascii="Kalpurush" w:cs="Kalpurush" w:eastAsia="Kalpurush" w:hAnsi="Kalpurush"/>
                <w:sz w:val="20"/>
                <w:szCs w:val="20"/>
              </w:rPr>
              <w:t xml:space="preserve">*"A record of rights finally published and revised under section 144A of the S.A.T. Act has a presumption of correctness and that presumption continues till it is rebutted by reliable evidence."*&lt;br&gt;*(বঙ্গানুবাদ: এস.এ.টি. আইনের ১৪৪A ধারার অধীনে চূড়ান্ত প্রকাশিত খতিয়ানের পেছনে সংবিধিবদ্ধ নির্ভুলতার অনুমান বিদ্যমান এবং নির্ভরযোগ্য প্রমাণ দ্বারা খণ্ডন না হওয়া পর্যন্ত তা অব্যাহত থাকে।)*</w:t>
            </w:r>
          </w:p>
        </w:tc>
      </w:tr>
      <w:tr>
        <w:tc>
          <w:p>
            <w:r>
              <w:rPr>
                <w:rFonts w:ascii="Kalpurush" w:cs="Kalpurush" w:eastAsia="Kalpurush" w:hAnsi="Kalpurush"/>
                <w:b/>
                <w:bCs/>
                <w:sz w:val="20"/>
                <w:szCs w:val="20"/>
              </w:rPr>
              <w:t xml:space="preserve">56 DLR (AD) 53</w:t>
            </w:r>
            <w:r>
              <w:rPr>
                <w:rFonts w:ascii="Kalpurush" w:cs="Kalpurush" w:eastAsia="Kalpurush" w:hAnsi="Kalpurush"/>
                <w:sz w:val="20"/>
                <w:szCs w:val="20"/>
              </w:rPr>
              <w:t xml:space="preserve"> *(Govt. vs. AKM Abdul Hye)*</w:t>
            </w:r>
          </w:p>
        </w:tc>
        <w:tc>
          <w:p>
            <w:r>
              <w:rPr>
                <w:rFonts w:ascii="Kalpurush" w:cs="Kalpurush" w:eastAsia="Kalpurush" w:hAnsi="Kalpurush"/>
                <w:sz w:val="20"/>
                <w:szCs w:val="20"/>
              </w:rPr>
              <w:t xml:space="preserve">*"Records of rights prepared under the SAT Act carry a statutory presumption of correctness which must be rebutted by positive and reliable evidence by the challenger."*&lt;br&gt;*(বঙ্গানুবাদ: এসএটি আইনের অধীনে প্রস্তুতকৃত খতিয়ান সংবিধিবদ্ধ অনুমান বহন করে, যা চ্যালেঞ্জকারীকে ইতিবাচক ও নির্ভরযোগ্য সাক্ষ্য দ্বারা খণ্ডন করতে হবে।)*</w:t>
            </w:r>
          </w:p>
        </w:tc>
      </w:tr>
      <w:tr>
        <w:tc>
          <w:p>
            <w:r>
              <w:rPr>
                <w:rFonts w:ascii="Kalpurush" w:cs="Kalpurush" w:eastAsia="Kalpurush" w:hAnsi="Kalpurush"/>
                <w:b/>
                <w:bCs/>
                <w:sz w:val="20"/>
                <w:szCs w:val="20"/>
              </w:rPr>
              <w:t xml:space="preserve">10 BLT (AD) 105</w:t>
            </w:r>
            <w:r>
              <w:rPr>
                <w:rFonts w:ascii="Kalpurush" w:cs="Kalpurush" w:eastAsia="Kalpurush" w:hAnsi="Kalpurush"/>
                <w:sz w:val="20"/>
                <w:szCs w:val="20"/>
              </w:rPr>
              <w:t xml:space="preserve"> *(Azizul Hoque)*</w:t>
            </w:r>
          </w:p>
        </w:tc>
        <w:tc>
          <w:p>
            <w:r>
              <w:rPr>
                <w:rFonts w:ascii="Kalpurush" w:cs="Kalpurush" w:eastAsia="Kalpurush" w:hAnsi="Kalpurush"/>
                <w:sz w:val="20"/>
                <w:szCs w:val="20"/>
              </w:rPr>
              <w:t xml:space="preserve">*"The burden of proving the error in the record of rights lies heavily on the challenging party."*&lt;br&gt;*(বঙ্গানুবাদ: খতিয়ানের ভুল প্রমাণের সম্পূর্ণ দায়ভার চ্যালেঞ্জকারী পক্ষের ওপর বর্তায়।)*</w:t>
            </w:r>
          </w:p>
        </w:tc>
      </w:tr>
      <w:tr>
        <w:tc>
          <w:p>
            <w:r>
              <w:rPr>
                <w:rFonts w:ascii="Kalpurush" w:cs="Kalpurush" w:eastAsia="Kalpurush" w:hAnsi="Kalpurush"/>
                <w:b/>
                <w:bCs/>
                <w:sz w:val="20"/>
                <w:szCs w:val="20"/>
              </w:rPr>
              <w:t xml:space="preserve">45 DLR (AD) 124</w:t>
            </w:r>
            <w:r>
              <w:rPr>
                <w:rFonts w:ascii="Kalpurush" w:cs="Kalpurush" w:eastAsia="Kalpurush" w:hAnsi="Kalpurush"/>
                <w:sz w:val="20"/>
                <w:szCs w:val="20"/>
              </w:rPr>
              <w:t xml:space="preserve"> *(Nuruddin Ahmed)*</w:t>
            </w:r>
          </w:p>
        </w:tc>
        <w:tc>
          <w:p>
            <w:r>
              <w:rPr>
                <w:rFonts w:ascii="Kalpurush" w:cs="Kalpurush" w:eastAsia="Kalpurush" w:hAnsi="Kalpurush"/>
                <w:sz w:val="20"/>
                <w:szCs w:val="20"/>
              </w:rPr>
              <w:t xml:space="preserve">*"A trial court errs in law when it requires the plaintiff to disprove every counter-assertion instead of holding the challenger to their onus."*&lt;br&gt;*(বঙ্গানুবাদ: চ্যালেঞ্জকারীকে তার প্রমাণের দায়িত্বে আবদ্ধ না রেখে বাদীর ওপর প্রতিটি বিপরীত দাবি মিথ্যা প্রমাণের বোঝা চাপানো আইনে মারাত্মক ভুল।)*</w:t>
            </w:r>
          </w:p>
        </w:tc>
      </w:tr>
      <w:tr>
        <w:tc>
          <w:p>
            <w:r>
              <w:rPr>
                <w:rFonts w:ascii="Kalpurush" w:cs="Kalpurush" w:eastAsia="Kalpurush" w:hAnsi="Kalpurush"/>
                <w:b/>
                <w:bCs/>
                <w:sz w:val="20"/>
                <w:szCs w:val="20"/>
              </w:rPr>
              <w:t xml:space="preserve">53 DLR 19</w:t>
            </w:r>
            <w:r>
              <w:rPr>
                <w:rFonts w:ascii="Kalpurush" w:cs="Kalpurush" w:eastAsia="Kalpurush" w:hAnsi="Kalpurush"/>
                <w:sz w:val="20"/>
                <w:szCs w:val="20"/>
              </w:rPr>
              <w:t xml:space="preserve"> *(Shahera Khatun)*</w:t>
            </w:r>
          </w:p>
        </w:tc>
        <w:tc>
          <w:p>
            <w:r>
              <w:rPr>
                <w:rFonts w:ascii="Kalpurush" w:cs="Kalpurush" w:eastAsia="Kalpurush" w:hAnsi="Kalpurush"/>
                <w:sz w:val="20"/>
                <w:szCs w:val="20"/>
              </w:rPr>
              <w:t xml:space="preserve">*"A volume note or mutation entry carries no statutory presumption of correctness without the underlying parent order."*&lt;br&gt;*(বঙ্গানুবাদ: মূল আদেশ ব্যতীত ভলিউম নোট বা নামজারি এন্ট্রির কোনো সংবিধিবদ্ধ নির্ভুলতার অনুমান থাকে না।)*</w:t>
            </w:r>
          </w:p>
        </w:tc>
      </w:tr>
      <w:tr>
        <w:tc>
          <w:p>
            <w:r>
              <w:rPr>
                <w:rFonts w:ascii="Kalpurush" w:cs="Kalpurush" w:eastAsia="Kalpurush" w:hAnsi="Kalpurush"/>
                <w:b/>
                <w:bCs/>
                <w:sz w:val="20"/>
                <w:szCs w:val="20"/>
              </w:rPr>
              <w:t xml:space="preserve">1 BLT (HD) 18</w:t>
            </w:r>
            <w:r>
              <w:rPr>
                <w:rFonts w:ascii="Kalpurush" w:cs="Kalpurush" w:eastAsia="Kalpurush" w:hAnsi="Kalpurush"/>
                <w:sz w:val="20"/>
                <w:szCs w:val="20"/>
              </w:rPr>
              <w:t xml:space="preserve"> *(Fazlur Rahman)*</w:t>
            </w:r>
          </w:p>
        </w:tc>
        <w:tc>
          <w:p>
            <w:r>
              <w:rPr>
                <w:rFonts w:ascii="Kalpurush" w:cs="Kalpurush" w:eastAsia="Kalpurush" w:hAnsi="Kalpurush"/>
                <w:sz w:val="20"/>
                <w:szCs w:val="20"/>
              </w:rPr>
              <w:t xml:space="preserve">*"SA Khatian changes made in separate ink or handwriting without a parent judicial order sheet are invalid and legally ineffective."*&lt;br&gt;*(বঙ্গানুবাদ: মূল বিচারিক আদেশনামা ছাড়া ভিন্ন কালিতে বা হস্তাক্ষরে এসএ খতিয়ানে কৃত পরিবর্তন অবৈধ এবং আইনত অকার্যকর।)*</w:t>
            </w:r>
          </w:p>
        </w:tc>
      </w:tr>
      <w:tr>
        <w:tc>
          <w:p>
            <w:r>
              <w:rPr>
                <w:rFonts w:ascii="Kalpurush" w:cs="Kalpurush" w:eastAsia="Kalpurush" w:hAnsi="Kalpurush"/>
                <w:b/>
                <w:bCs/>
                <w:sz w:val="20"/>
                <w:szCs w:val="20"/>
              </w:rPr>
              <w:t xml:space="preserve">27 BLD (HD) 544</w:t>
            </w:r>
            <w:r>
              <w:rPr>
                <w:rFonts w:ascii="Kalpurush" w:cs="Kalpurush" w:eastAsia="Kalpurush" w:hAnsi="Kalpurush"/>
                <w:sz w:val="20"/>
                <w:szCs w:val="20"/>
              </w:rPr>
              <w:t xml:space="preserve"> *(Malay Miah)*</w:t>
            </w:r>
          </w:p>
        </w:tc>
        <w:tc>
          <w:p>
            <w:r>
              <w:rPr>
                <w:rFonts w:ascii="Kalpurush" w:cs="Kalpurush" w:eastAsia="Kalpurush" w:hAnsi="Kalpurush"/>
                <w:sz w:val="20"/>
                <w:szCs w:val="20"/>
              </w:rPr>
              <w:t xml:space="preserve">*"Question of title cannot be decided in a miscellaneous proceeding. Declaration of title requires a properly constituted civil suit."*&lt;br&gt;*(বঙ্গানুবাদ: মিস মোকদ্দমার সংক্ষিপ্ত প্রক্রিয়ায় স্বত্বের প্রশ্ন নিষ্পত্তি করা যায় না। স্বত্ব ঘোষণার জন্য দেওয়ানি মামলা আবশ্যক।)*</w:t>
            </w:r>
          </w:p>
        </w:tc>
      </w:tr>
      <w:tr>
        <w:tc>
          <w:p>
            <w:r>
              <w:rPr>
                <w:rFonts w:ascii="Kalpurush" w:cs="Kalpurush" w:eastAsia="Kalpurush" w:hAnsi="Kalpurush"/>
                <w:b/>
                <w:bCs/>
                <w:sz w:val="20"/>
                <w:szCs w:val="20"/>
              </w:rPr>
              <w:t xml:space="preserve">12 BLC (AD) 79</w:t>
            </w:r>
            <w:r>
              <w:rPr>
                <w:rFonts w:ascii="Kalpurush" w:cs="Kalpurush" w:eastAsia="Kalpurush" w:hAnsi="Kalpurush"/>
                <w:sz w:val="20"/>
                <w:szCs w:val="20"/>
              </w:rPr>
              <w:t xml:space="preserve"> *(Harun-al-Rashid)*</w:t>
            </w:r>
          </w:p>
        </w:tc>
        <w:tc>
          <w:p>
            <w:r>
              <w:rPr>
                <w:rFonts w:ascii="Kalpurush" w:cs="Kalpurush" w:eastAsia="Kalpurush" w:hAnsi="Kalpurush"/>
                <w:sz w:val="20"/>
                <w:szCs w:val="20"/>
              </w:rPr>
              <w:t xml:space="preserve">*"Settlement or rent receipts of Court of Wards / Dhaka Nawab Estate without the written approval of the Chief Manager are void ab initio and confer no title."*&lt;br&gt;*(বঙ্গানুবাদ: চিফ ম্যানেজারের লিখিত অনুমোদন ব্যতীত কোর্ট অব ওয়ার্ডস বা ঢাকা নবাব এস্টেটের কোনো বন্দোবস্ত বা খাজনা রসিদ শুরু থেকেই বাতিল এবং তা কোনো স্বত্ব প্রদান করে না।)*</w:t>
            </w:r>
          </w:p>
        </w:tc>
      </w:tr>
      <w:tr>
        <w:tc>
          <w:p>
            <w:r>
              <w:rPr>
                <w:rFonts w:ascii="Kalpurush" w:cs="Kalpurush" w:eastAsia="Kalpurush" w:hAnsi="Kalpurush"/>
                <w:b/>
                <w:bCs/>
                <w:sz w:val="20"/>
                <w:szCs w:val="20"/>
              </w:rPr>
              <w:t xml:space="preserve">4 SCOB [2015] HCD 52</w:t>
            </w:r>
            <w:r>
              <w:rPr>
                <w:rFonts w:ascii="Kalpurush" w:cs="Kalpurush" w:eastAsia="Kalpurush" w:hAnsi="Kalpurush"/>
                <w:sz w:val="20"/>
                <w:szCs w:val="20"/>
              </w:rPr>
              <w:t xml:space="preserve"> *(Shajahan Bhuiyan)*</w:t>
            </w:r>
          </w:p>
        </w:tc>
        <w:tc>
          <w:p>
            <w:r>
              <w:rPr>
                <w:rFonts w:ascii="Kalpurush" w:cs="Kalpurush" w:eastAsia="Kalpurush" w:hAnsi="Kalpurush"/>
                <w:sz w:val="20"/>
                <w:szCs w:val="20"/>
              </w:rPr>
              <w:t xml:space="preserve">*"Irrespective of whatever title or right was acquired by virtue of the unregistered patta, it had extinguished as a result of State Acquisition under Section 86 of the SAT Act."*&lt;br&gt;*(বঙ্গানুবাদ: অনিবন্ধিত পাট্টার মাধ্যমে যে স্বত্বই অর্জিত হোক না কেন, এস.এ.টি. আইনের ৮৬ ধারার অধীনে রাষ্ট্রীয় অধিগ্রহণের ফলে তা বিলুপ্ত হয়ে গেছে।)*</w:t>
            </w:r>
          </w:p>
        </w:tc>
      </w:tr>
      <w:tr>
        <w:tc>
          <w:p>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*(Mrigangka Mohan Dhali)*</w:t>
            </w:r>
          </w:p>
        </w:tc>
        <w:tc>
          <w:p>
            <w:r>
              <w:rPr>
                <w:rFonts w:ascii="Kalpurush" w:cs="Kalpurush" w:eastAsia="Kalpurush" w:hAnsi="Kalpurush"/>
                <w:sz w:val="20"/>
                <w:szCs w:val="20"/>
              </w:rPr>
              <w:t xml:space="preserve">*"An administrative ROR entry or procured mutation note cannot override an established title or statutory presumption attached to a finally published record."*&lt;br&gt;*(বঙ্গানুবাদ: প্রশাসনিক খতিয়ান এন্ট্রি বা সংগৃহীত নামজারি নোট কোনো প্রতিষ্ঠিত স্বত্ব বা চূড়ান্ত প্রকাশিত রেকর্ডের সংবিধিবদ্ধ অনুমানকে বাতিল করতে পারে না।)*</w:t>
            </w:r>
          </w:p>
        </w:tc>
      </w:tr>
      <w:tr>
        <w:tc>
          <w:p>
            <w:r>
              <w:rPr>
                <w:rFonts w:ascii="Kalpurush" w:cs="Kalpurush" w:eastAsia="Kalpurush" w:hAnsi="Kalpurush"/>
                <w:b/>
                <w:bCs/>
                <w:sz w:val="20"/>
                <w:szCs w:val="20"/>
              </w:rPr>
              <w:t xml:space="preserve">49 DLR (AD) 15</w:t>
            </w:r>
            <w:r>
              <w:rPr>
                <w:rFonts w:ascii="Kalpurush" w:cs="Kalpurush" w:eastAsia="Kalpurush" w:hAnsi="Kalpurush"/>
                <w:sz w:val="20"/>
                <w:szCs w:val="20"/>
              </w:rPr>
              <w:t xml:space="preserve"> *(Safaruddin)*</w:t>
            </w:r>
          </w:p>
        </w:tc>
        <w:tc>
          <w:p>
            <w:r>
              <w:rPr>
                <w:rFonts w:ascii="Kalpurush" w:cs="Kalpurush" w:eastAsia="Kalpurush" w:hAnsi="Kalpurush"/>
                <w:sz w:val="20"/>
                <w:szCs w:val="20"/>
              </w:rPr>
              <w:t xml:space="preserve">*"The Government is not a necessary party in a private partition suit between co-sharers where no relief is sought against the State."*&lt;br&gt;*(বঙ্গানুবাদ: সহ-অংশীদারদের মধ্যে ব্যক্তিগত বাটোয়ারা মামলায় সরকার আবশ্যকীয় পক্ষ নয়, যেখানে রাষ্ট্রের বিরুদ্ধে কোনো প্রতিকার চাওয়া হয়নি।)*</w:t>
            </w:r>
          </w:p>
        </w:tc>
      </w:tr>
      <w:tr>
        <w:tc>
          <w:p>
            <w:r>
              <w:rPr>
                <w:rFonts w:ascii="Kalpurush" w:cs="Kalpurush" w:eastAsia="Kalpurush" w:hAnsi="Kalpurush"/>
                <w:b/>
                <w:bCs/>
                <w:sz w:val="20"/>
                <w:szCs w:val="20"/>
              </w:rPr>
              <w:t xml:space="preserve">27 BLD (HD) 229</w:t>
            </w:r>
            <w:r>
              <w:rPr>
                <w:rFonts w:ascii="Kalpurush" w:cs="Kalpurush" w:eastAsia="Kalpurush" w:hAnsi="Kalpurush"/>
                <w:sz w:val="20"/>
                <w:szCs w:val="20"/>
              </w:rPr>
              <w:t xml:space="preserve"> *(Shahjahan Akon)*</w:t>
            </w:r>
          </w:p>
        </w:tc>
        <w:tc>
          <w:p>
            <w:r>
              <w:rPr>
                <w:rFonts w:ascii="Kalpurush" w:cs="Kalpurush" w:eastAsia="Kalpurush" w:hAnsi="Kalpurush"/>
                <w:sz w:val="20"/>
                <w:szCs w:val="20"/>
              </w:rPr>
              <w:t xml:space="preserve">*"Separate khatians create separate tenancies; no hotchpot defect arises from leaving out adjacent government plots or land under different tenancies."*&lt;br&gt;*(বঙ্গানুবাদ: পৃথক খতিয়ান পৃথক প্রজাস্বত্ব সৃষ্টি করে; সংলগ্ন সরকারি জমি বা ভিন্ন খতিয়ানের জমি বাদ দিলে আংশিক বাটোয়ারার কোনো দোষ সৃষ্টি হয় না।)*</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এই আপীলের উত্তরহীন ৪টি প্রাতিষ্ঠানিক প্রশ্ন (4 Unanswered Questions)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District Collector Record Room-এর মূল SA খতিয়ান আজও অপরিবর্তিত কেন?</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Register of Alterations-এ কোনো সংশোধনের Entry নাই কেন?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কথিত সংশোধিত খতিয়ানের Certified Copy কোথায়?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কথিত সংশোধনে সোনাভানুর অন্য দুই বোন (বেলুয়া ও কমলা)-র নাম বাদ পড়িল কেন?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১০টি অগ্রাধিকারপ্রাপ্ত তীক্ষ্ণ প্রশ্ন ও সুনির্দিষ্ট মৌখিক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আপনারা যদি ১৯৩৪ সালের পত্তন প্রমাণ না করেন, তবে আব্দুল আলীর স্বত্বের উৎস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আমাদের দাবি আব্দুল করিমের কথিত পত্তন থেকে derivative নয়। আমাদের প্রমাণের কেন্দ্রবিন্দু হলো রাষ্ট্রের Estate Acquisition-পরবর্তী State Recognition এবং finally published SA Record। বিবাদীপক্ষ যদি দাবি করেন যে সেই State Recognition ভুল ছিল, তবে তাঁদের সেই competing root tenancy এবং lawful displacement উভয়ই প্রমাণ করতে হবে।"*</w:t>
      </w:r>
    </w:p>
    <w:p>
      <w:r>
        <w:rPr>
          <w:rFonts w:ascii="Kalpurush" w:cs="Kalpurush" w:eastAsia="Kalpurush" w:hAnsi="Kalpurush"/>
        </w:rPr>
        <w:t xml:space="preserve"/>
      </w:r>
    </w:p>
    <w:p>
      <w:r>
        <w:rPr>
          <w:rFonts w:ascii="Kalpurush" w:cs="Kalpurush" w:eastAsia="Kalpurush" w:hAnsi="Kalpurush"/>
          <w:b/>
          <w:bCs/>
          <w:sz w:val="20"/>
          <w:szCs w:val="20"/>
        </w:rPr>
        <w:t xml:space="preserve">Q2: বিবাদীরা Misc Case 1181/1969-এর সার্টিফাইড কপি বা মূল ফাইল কেন দাখিল করতে পারে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 আদালতে প্রমাণিত হয় নাই এবং তাহারা মূল ফাইলও সমন করেননি। Evidence Act Section 103 ও 114(g) অনুযায়ী প্রমাণের দায়িত্ব বিবাদীদের ছিল।"*</w:t>
      </w:r>
    </w:p>
    <w:p>
      <w:r>
        <w:rPr>
          <w:rFonts w:ascii="Kalpurush" w:cs="Kalpurush" w:eastAsia="Kalpurush" w:hAnsi="Kalpurush"/>
        </w:rPr>
        <w:t xml:space="preserve"/>
      </w:r>
    </w:p>
    <w:p>
      <w:r>
        <w:rPr>
          <w:rFonts w:ascii="Kalpurush" w:cs="Kalpurush" w:eastAsia="Kalpurush" w:hAnsi="Kalpurush"/>
          <w:b/>
          <w:bCs/>
          <w:sz w:val="20"/>
          <w:szCs w:val="20"/>
        </w:rPr>
        <w:t xml:space="preserve">Q3: AC Land ভলিউম নোটের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presumptive value নাই। foundational order না থাকলে consequential note স্বত্ব প্রমাণ করতে পারে না।"*</w:t>
      </w:r>
    </w:p>
    <w:p>
      <w:r>
        <w:rPr>
          <w:rFonts w:ascii="Kalpurush" w:cs="Kalpurush" w:eastAsia="Kalpurush" w:hAnsi="Kalpurush"/>
        </w:rPr>
        <w:t xml:space="preserve"/>
      </w:r>
    </w:p>
    <w:p>
      <w:r>
        <w:rPr>
          <w:rFonts w:ascii="Kalpurush" w:cs="Kalpurush" w:eastAsia="Kalpurush" w:hAnsi="Kalpurush"/>
          <w:b/>
          <w:bCs/>
          <w:sz w:val="20"/>
          <w:szCs w:val="20"/>
        </w:rPr>
        <w:t xml:space="preserve">Q4: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মূল প্রজা স্বত্ব কর্তন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Q5: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Q6: বিবাদীদের ১৯৭৫ সালের দলিল (Deed 3596/1975) কীভাবে তাহাদের দাবিকে দুর্বল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বিবাদীদের তলবি ভলিউমে এবং জেরার বক্তব্যে SA ২৩৮-এ দাগ মাত্র ১টি বলা হইয়াছে। অথচ ১৯৭৫ সালে তাহাদের নিজ দলিলেই ৬টি দাগের বিবরণ রহিয়াছে (Exhibit Kha-1)। এটি একটি অখণ্ডনীয় দালিলিক স্ববিরোধিতা।"*</w:t>
      </w:r>
    </w:p>
    <w:p>
      <w:r>
        <w:rPr>
          <w:rFonts w:ascii="Kalpurush" w:cs="Kalpurush" w:eastAsia="Kalpurush" w:hAnsi="Kalpurush"/>
        </w:rPr>
        <w:t xml:space="preserve"/>
      </w:r>
    </w:p>
    <w:p>
      <w:r>
        <w:rPr>
          <w:rFonts w:ascii="Kalpurush" w:cs="Kalpurush" w:eastAsia="Kalpurush" w:hAnsi="Kalpurush"/>
          <w:b/>
          <w:bCs/>
          <w:sz w:val="20"/>
          <w:szCs w:val="20"/>
        </w:rPr>
        <w:t xml:space="preserve">Q7: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27 BLD 229 অনুযায়ী পৃথক খতিয়ানের জমি বা সরকারের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Q8: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Q9: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মূল প্রজার নাম বলেন 'আব্দুল আলীম' এবং তিনি লেখককে চিহ্নিত করতে পারেননি বা মূল ফাইল দেখাতে পারেননি।"*</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নির্ভরযোগ্য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মৌখিক প্রার্থনা (Closing Spoken Prayer)</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*"মহামান্য আদালত, আমাদের বিনীত বক্তব্য খুব সীমিত এবং সুনির্দিষ্ট: </w:t>
      </w: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r>
        <w:rPr>
          <w:rFonts w:ascii="Kalpurush" w:cs="Kalpurush" w:eastAsia="Kalpurush" w:hAnsi="Kalpurush"/>
          <w:i/>
          <w:iCs/>
          <w:sz w:val="20"/>
          <w:szCs w:val="20"/>
        </w:rPr>
        <w:t xml:space="preserve"> (বঙ্গানুবাদ: আমরা আদালতকে চূড়ান্তভাবে প্রকাশিত এসএ রেকর্ড কখনো ভুল হতে পারে না—এমন সিদ্ধান্ত দিতে বলছি না। আমরা আদালতকে বিনীতভাবে বলছি যে পক্ষ ওই রেকর্ডকে চ্যালেঞ্জ করছে, তাদের কাছে প্রমাণ চাইতে যে কীভাবে, কখন এবং কোন বৈধ দলিলের মাধ্যমে সেই রেকর্ড অপসারিত হয়েছিল।) বিবাদীপক্ষ সেই প্রমাণ দিতে সম্পূর্ণ ব্যর্থ হইয়াছে। অতএব সখিপুর সিভিল জজ আদালতের ০৫/০৪/২০২৬ তারিখের খারিজ রায় ও ০৯/০৪/২০২৬ তারিখের ডিক্রি বাতিল করিয়া SA ২৩৮ নং খতিয়ানের ভিত্তিতে বাদীদের অনুকূলে প্রাথমিক ডিক্রি (Preliminary Decree) প্রদানের প্রার্থনা জানাইতেছি।"*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2026-08-15T07:18:58.596Z</dcterms:created>
  <dcterms:modified xsi:type="dcterms:W3CDTF">2026-08-15T07:18:58.596Z</dcterms:modified>
</cp:coreProperties>
</file>

<file path=docProps/custom.xml><?xml version="1.0" encoding="utf-8"?>
<Properties xmlns="http://schemas.openxmlformats.org/officeDocument/2006/custom-properties" xmlns:vt="http://schemas.openxmlformats.org/officeDocument/2006/docPropsVTypes"/>
</file>