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rPr>
        <w:t xml:space="preserve"/>
      </w:r>
    </w:p>
    <w:p>
      <w:r>
        <w:rPr>
          <w:rFonts w:ascii="Kalpurush" w:cs="Kalpurush" w:eastAsia="Kalpurush" w:hAnsi="Kalpurush"/>
          <w:b/>
          <w:bCs/>
          <w:sz w:val="20"/>
          <w:szCs w:val="20"/>
        </w:rPr>
        <w:t xml:space="preserve">হাতেম আলী ও অন্যান্য (আপীল্যান্ট/বাদী)</w:t>
      </w:r>
    </w:p>
    <w:p>
      <w:r>
        <w:rPr>
          <w:rFonts w:ascii="Kalpurush" w:cs="Kalpurush" w:eastAsia="Kalpurush" w:hAnsi="Kalpurush"/>
          <w:sz w:val="20"/>
          <w:szCs w:val="20"/>
        </w:rPr>
        <w:t xml:space="preserve">বনাম</w:t>
      </w:r>
    </w:p>
    <w:p>
      <w:r>
        <w:rPr>
          <w:rFonts w:ascii="Kalpurush" w:cs="Kalpurush" w:eastAsia="Kalpurush" w:hAnsi="Kalpurush"/>
          <w:b/>
          <w:bCs/>
          <w:sz w:val="20"/>
          <w:szCs w:val="20"/>
        </w:rPr>
        <w:t xml:space="preserve">আলহাজ উদ্দিন ও অন্যান্য (রেসপন্ডেন্ট/বিবাদী)</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আপীল্যান্টপক্ষের পূর্ণাঙ্গ লিখিত যুক্তিতর্ক</w:t>
      </w:r>
    </w:p>
    <w:p>
      <w:r>
        <w:rPr>
          <w:rFonts w:ascii="Kalpurush" w:cs="Kalpurush" w:eastAsia="Kalpurush" w:hAnsi="Kalpurush"/>
          <w:b/>
          <w:bCs/>
          <w:sz w:val="20"/>
          <w:szCs w:val="20"/>
        </w:rPr>
        <w:t xml:space="preserve">Independent, Measured &amp; Evidence-Centred Appellate Brief</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নিবেদন</w:t>
      </w:r>
    </w:p>
    <w:p>
      <w:r>
        <w:rPr>
          <w:rFonts w:ascii="Kalpurush" w:cs="Kalpurush" w:eastAsia="Kalpurush" w:hAnsi="Kalpurush"/>
        </w:rPr>
        <w:t xml:space="preserve"/>
      </w:r>
    </w:p>
    <w:p>
      <w:r>
        <w:rPr>
          <w:rFonts w:ascii="Kalpurush" w:cs="Kalpurush" w:eastAsia="Kalpurush" w:hAnsi="Kalpurush"/>
          <w:b/>
          <w:bCs/>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অত্র আপীলের ন্যায়ানুগ নিষ্পত্তির নিমিত্তে সমগ্র জমিদারি ইতিহাস, ১৯৩৪ সালের কথিত পত্তনের অস্পষ্টতা কিংবা পারিবারিক বংশতালিকার আদ্যোপান্ত পুনর্গঠনের কোনো আইনি আবশ্যকতা নাই। এই আপীলের প্রকৃত বিচার্য বিষয় অনেক বেশি সুনির্দিষ্ট এবং দালিলিক প্রমাণের উপর নির্ভরশীল।</w:t>
      </w:r>
    </w:p>
    <w:p>
      <w:r>
        <w:rPr>
          <w:rFonts w:ascii="Kalpurush" w:cs="Kalpurush" w:eastAsia="Kalpurush" w:hAnsi="Kalpurush"/>
        </w:rPr>
        <w:t xml:space="preserve"/>
      </w:r>
    </w:p>
    <w:p>
      <w:r>
        <w:rPr>
          <w:rFonts w:ascii="Kalpurush" w:cs="Kalpurush" w:eastAsia="Kalpurush" w:hAnsi="Kalpurush"/>
          <w:sz w:val="20"/>
          <w:szCs w:val="20"/>
        </w:rPr>
        <w:t xml:space="preserve">রাষ্ট্রের অধিগ্রহণ-পরবর্তী জরিপে প্রস্তুত ও চূড়ান্তভাবে প্রকাশিত </w:t>
      </w:r>
      <w:r>
        <w:rPr>
          <w:rFonts w:ascii="Kalpurush" w:cs="Kalpurush" w:eastAsia="Kalpurush" w:hAnsi="Kalpurush"/>
          <w:b/>
          <w:bCs/>
          <w:sz w:val="20"/>
          <w:szCs w:val="20"/>
        </w:rPr>
        <w:t xml:space="preserve">SA ২৩৮ নং খতিয়ানে আব্দুল আলী এককভাবে (১৬ আনা) রায়ত হিসাবে রেকর্ডভুক্ত</w:t>
      </w:r>
      <w:r>
        <w:rPr>
          <w:rFonts w:ascii="Kalpurush" w:cs="Kalpurush" w:eastAsia="Kalpurush" w:hAnsi="Kalpurush"/>
          <w:sz w:val="20"/>
          <w:szCs w:val="20"/>
        </w:rPr>
        <w:t xml:space="preserve"> রহিয়াছেন। State Acquisition and Tenancy Act, 1950-এর Section 144A মোতাবেক, চূড়ান্তভাবে প্রকাশিত record-of-rights-এর কোনো ভুক্তি (entry) সাক্ষ্য হিসাবে গ্রহণযোগ্য এবং তাহা ভুল প্রমাণিত না হওয়া পর্যন্ত সঠিক বলিয়া অনুমিত (presumed) হইবে।</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আপীল্যান্টপক্ষের বক্তব্য এমন নহে যে, SA ২৩৮ নং খতিয়ান কখনো ভুল হইতে পারে না। আমরা এমন দাবিও করিতেছি না যে, Revenue Authority কোনো statutory procedure-এর অধীনে খতিয়ান হালনাগাদ বা সংশোধন করিতে এখতিয়ারহীন। বর্তমান আইনের Section 143-এ clerical mistake সংশোধন এবং হস্তান্তর বা উত্তরাধিকার সূত্রে record update করিবার বিধান রহিয়াছে; একইভাবে Section 143C-তে notice, objection এবং hearing-এর সুনির্দিষ্ট প্রক্রিয়াও বর্ণিত আছে।</w:t>
      </w:r>
    </w:p>
    <w:p>
      <w:r>
        <w:rPr>
          <w:rFonts w:ascii="Kalpurush" w:cs="Kalpurush" w:eastAsia="Kalpurush" w:hAnsi="Kalpurush"/>
        </w:rPr>
        <w:t xml:space="preserve"/>
      </w:r>
    </w:p>
    <w:p>
      <w:r>
        <w:rPr>
          <w:rFonts w:ascii="Kalpurush" w:cs="Kalpurush" w:eastAsia="Kalpurush" w:hAnsi="Kalpurush"/>
          <w:b/>
          <w:bCs/>
          <w:sz w:val="20"/>
          <w:szCs w:val="20"/>
        </w:rPr>
        <w:t xml:space="preserve">আমাদের বক্তব্য অত্যন্ত সুস্পষ্ট ও সীমিত: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বিবাদীপক্ষ বর্তমান মামলায় যে সুনির্দিষ্ট substantive পরিবর্তনের উপর ভিত্তি করিয়া স্বত্ব দাবি প্রতিষ্ঠিত করিতে চাহিতেছে, সেই পরিবর্তনের আইনি উৎস (legal source), কার্যপ্রণালী (proceeding), এখতিয়ার (authority) এবং দালিলিক প্রমাণ (documentary manifestation) আদালতে আদৌ প্রমাণিত হয় নাই।</w:t>
      </w:r>
    </w:p>
    <w:p>
      <w:r>
        <w:rPr>
          <w:rFonts w:ascii="Kalpurush" w:cs="Kalpurush" w:eastAsia="Kalpurush" w:hAnsi="Kalpurush"/>
        </w:rPr>
        <w:t xml:space="preserve"/>
      </w:r>
    </w:p>
    <w:p>
      <w:r>
        <w:rPr>
          <w:rFonts w:ascii="Kalpurush" w:cs="Kalpurush" w:eastAsia="Kalpurush" w:hAnsi="Kalpurush"/>
          <w:sz w:val="20"/>
          <w:szCs w:val="20"/>
        </w:rPr>
        <w:t xml:space="preserve">সুতরাং, অত্র আপীলের মূল প্রশ্ন কেবল </w:t>
      </w:r>
      <w:r>
        <w:rPr>
          <w:rFonts w:ascii="Kalpurush" w:cs="Kalpurush" w:eastAsia="Kalpurush" w:hAnsi="Kalpurush"/>
          <w:b/>
          <w:bCs/>
          <w:sz w:val="20"/>
          <w:szCs w:val="20"/>
        </w:rPr>
        <w:t xml:space="preserve">"SA ২৩৮ ভুল কি না?"</w:t>
      </w:r>
      <w:r>
        <w:rPr>
          <w:rFonts w:ascii="Kalpurush" w:cs="Kalpurush" w:eastAsia="Kalpurush" w:hAnsi="Kalpurush"/>
          <w:sz w:val="20"/>
          <w:szCs w:val="20"/>
        </w:rPr>
        <w:t xml:space="preserve">—ইহা নহে। </w:t>
      </w:r>
    </w:p>
    <w:p>
      <w:r>
        <w:rPr>
          <w:rFonts w:ascii="Kalpurush" w:cs="Kalpurush" w:eastAsia="Kalpurush" w:hAnsi="Kalpurush"/>
        </w:rPr>
        <w:t xml:space="preserve"/>
      </w:r>
    </w:p>
    <w:p>
      <w:r>
        <w:rPr>
          <w:rFonts w:ascii="Kalpurush" w:cs="Kalpurush" w:eastAsia="Kalpurush" w:hAnsi="Kalpurush"/>
          <w:sz w:val="20"/>
          <w:szCs w:val="20"/>
        </w:rPr>
        <w:t xml:space="preserve">প্রকৃত আইনি প্রশ্নটি হইল:</w:t>
      </w:r>
    </w:p>
    <w:p>
      <w:pPr>
        <w:ind w:left="720"/>
      </w:pPr>
      <w:r>
        <w:rPr>
          <w:rFonts w:ascii="Kalpurush" w:cs="Kalpurush" w:eastAsia="Kalpurush" w:hAnsi="Kalpurush"/>
          <w:b/>
          <w:bCs/>
          <w:i/>
          <w:iCs/>
          <w:sz w:val="20"/>
          <w:szCs w:val="20"/>
        </w:rPr>
        <w:t xml:space="preserve">"যে পক্ষ দাবি করিতেছে যে SA ২৩৮ পরবর্তীতে সংশোধিত বা displaced হইয়াছে, সেই নির্দিষ্ট corrective event-এর আইনি ভিত্তি, সিদ্ধান্ত এবং বৈধ বাস্তবায়নের প্রমাণ কোথায়?"</w:t>
      </w:r>
    </w:p>
    <w:p>
      <w:r>
        <w:rPr>
          <w:rFonts w:ascii="Kalpurush" w:cs="Kalpurush" w:eastAsia="Kalpurush" w:hAnsi="Kalpurush"/>
        </w:rPr>
        <w:t xml:space="preserve"/>
      </w:r>
    </w:p>
    <w:p>
      <w:r>
        <w:rPr>
          <w:rFonts w:ascii="Kalpurush" w:cs="Kalpurush" w:eastAsia="Kalpurush" w:hAnsi="Kalpurush"/>
          <w:sz w:val="20"/>
          <w:szCs w:val="20"/>
        </w:rPr>
        <w:t xml:space="preserve">এই প্রশ্নের উত্তরই অত্র আপীলের মীমাংসার মূল চাবিকাঠি।</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I. প্রমাণের সঠিক ক্রম — The Two-Layer Test</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বিবাদীপক্ষের defence গ্রহণযোগ্য হইতে হইলে তাহাদিগকে আইনি প্রমাণের দুইটি পৃথক স্তর (layer) অতিক্রম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Layer 1 — Competing Root:</w:t>
      </w:r>
      <w:r>
        <w:rPr>
          <w:rFonts w:ascii="Kalpurush" w:cs="Kalpurush" w:eastAsia="Kalpurush" w:hAnsi="Kalpurush"/>
          <w:sz w:val="20"/>
          <w:szCs w:val="20"/>
        </w:rPr>
        <w:t xml:space="preserve"> আব্দুল করিম কি বাস্তবে এমন কোনো legally cognizable tenancy interest অর্জন করিয়াছিলেন, যাহার ভিত্তিতে তাহার উত্তরসূরিদের বর্তমান স্বত্ব দাবি আইনত গ্রহণযোগ্য?</w:t>
      </w:r>
    </w:p>
    <w:p>
      <w:r>
        <w:rPr>
          <w:rFonts w:ascii="Kalpurush" w:cs="Kalpurush" w:eastAsia="Kalpurush" w:hAnsi="Kalpurush"/>
        </w:rPr>
        <w:t xml:space="preserve"/>
      </w:r>
    </w:p>
    <w:p>
      <w:r>
        <w:rPr>
          <w:rFonts w:ascii="Kalpurush" w:cs="Kalpurush" w:eastAsia="Kalpurush" w:hAnsi="Kalpurush"/>
          <w:b/>
          <w:bCs/>
          <w:sz w:val="20"/>
          <w:szCs w:val="20"/>
        </w:rPr>
        <w:t xml:space="preserve">Layer 2 — Displacement:</w:t>
      </w:r>
      <w:r>
        <w:rPr>
          <w:rFonts w:ascii="Kalpurush" w:cs="Kalpurush" w:eastAsia="Kalpurush" w:hAnsi="Kalpurush"/>
          <w:sz w:val="20"/>
          <w:szCs w:val="20"/>
        </w:rPr>
        <w:t xml:space="preserve"> তর্কের খাতিরে যদি মানিয়াও নেওয়া হয় যে আব্দুল করিমের pre-SA interest-এর অস্তিত্ব ছিল, তথাপি সেই interest কীভাবে আইনগতভাবে চূড়ান্ত SA রেকর্ডে আব্দুল আলীর নাম অতিক্রম করিয়া সোনাভানুর অনুকূলে একটি present enforceable interest সৃষ্টি করিল?</w:t>
      </w:r>
    </w:p>
    <w:p>
      <w:r>
        <w:rPr>
          <w:rFonts w:ascii="Kalpurush" w:cs="Kalpurush" w:eastAsia="Kalpurush" w:hAnsi="Kalpurush"/>
        </w:rPr>
        <w:t xml:space="preserve"/>
      </w:r>
    </w:p>
    <w:p>
      <w:r>
        <w:rPr>
          <w:rFonts w:ascii="Kalpurush" w:cs="Kalpurush" w:eastAsia="Kalpurush" w:hAnsi="Kalpurush"/>
          <w:sz w:val="20"/>
          <w:szCs w:val="20"/>
        </w:rPr>
        <w:t xml:space="preserve">এই দুইটি প্রশ্ন এক নহে। </w:t>
      </w:r>
      <w:r>
        <w:rPr>
          <w:rFonts w:ascii="Kalpurush" w:cs="Kalpurush" w:eastAsia="Kalpurush" w:hAnsi="Kalpurush"/>
          <w:b/>
          <w:bCs/>
          <w:sz w:val="20"/>
          <w:szCs w:val="20"/>
        </w:rPr>
        <w:t xml:space="preserve">প্রথমটির উত্তর "হইতে পারে" ধরিয়া লইয়া দ্বিতীয়টির উত্তর "অবশ্যই হইয়াছে" বলিয়া অনুমান করিবার কোনো সুযোগ নাই।</w:t>
      </w:r>
      <w:r>
        <w:rPr>
          <w:rFonts w:ascii="Kalpurush" w:cs="Kalpurush" w:eastAsia="Kalpurush" w:hAnsi="Kalpurush"/>
          <w:sz w:val="20"/>
          <w:szCs w:val="20"/>
        </w:rPr>
        <w:t xml:space="preserve"> </w:t>
      </w:r>
    </w:p>
    <w:p>
      <w:r>
        <w:rPr>
          <w:rFonts w:ascii="Kalpurush" w:cs="Kalpurush" w:eastAsia="Kalpurush" w:hAnsi="Kalpurush"/>
        </w:rPr>
        <w:t xml:space="preserve"/>
      </w:r>
    </w:p>
    <w:p>
      <w:r>
        <w:rPr>
          <w:rFonts w:ascii="Kalpurush" w:cs="Kalpurush" w:eastAsia="Kalpurush" w:hAnsi="Kalpurush"/>
          <w:sz w:val="20"/>
          <w:szCs w:val="20"/>
        </w:rPr>
        <w:t xml:space="preserve">অত্র আপীলের মূল আইনি নিরাপত্তা এই distinction-এর মধ্যেই নিহিত। আমরা যদি প্রথম প্রশ্নে পুরোপুরি সফল না-ও হই, তবুও দ্বিতীয় প্রশ্নের documentary foundation অনুপস্থিত থাকিলে বিবাদীপক্ষের title theory স্বতঃই ব্যর্থ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II. SA ২৩৮ নং খতিয়ানের আইনি মর্যাদা</w:t>
      </w:r>
    </w:p>
    <w:p>
      <w:r>
        <w:rPr>
          <w:rFonts w:ascii="Kalpurush" w:cs="Kalpurush" w:eastAsia="Kalpurush" w:hAnsi="Kalpurush"/>
        </w:rPr>
        <w:t xml:space="preserve"/>
      </w:r>
    </w:p>
    <w:p>
      <w:r>
        <w:rPr>
          <w:rFonts w:ascii="Kalpurush" w:cs="Kalpurush" w:eastAsia="Kalpurush" w:hAnsi="Kalpurush"/>
          <w:sz w:val="20"/>
          <w:szCs w:val="20"/>
        </w:rPr>
        <w:t xml:space="preserve">বর্তমান মামলার evidentiary starting point হইল </w:t>
      </w:r>
      <w:r>
        <w:rPr>
          <w:rFonts w:ascii="Kalpurush" w:cs="Kalpurush" w:eastAsia="Kalpurush" w:hAnsi="Kalpurush"/>
          <w:b/>
          <w:bCs/>
          <w:sz w:val="20"/>
          <w:szCs w:val="20"/>
        </w:rPr>
        <w:t xml:space="preserve">final SA ২৩৮ নং খতিয়ান</w:t>
      </w:r>
      <w:r>
        <w:rPr>
          <w:rFonts w:ascii="Kalpurush" w:cs="Kalpurush" w:eastAsia="Kalpurush" w:hAnsi="Kalpurush"/>
          <w:sz w:val="20"/>
          <w:szCs w:val="20"/>
        </w:rPr>
        <w:t xml:space="preserve">। </w:t>
      </w:r>
    </w:p>
    <w:p>
      <w:r>
        <w:rPr>
          <w:rFonts w:ascii="Kalpurush" w:cs="Kalpurush" w:eastAsia="Kalpurush" w:hAnsi="Kalpurush"/>
        </w:rPr>
        <w:t xml:space="preserve"/>
      </w:r>
    </w:p>
    <w:p>
      <w:r>
        <w:rPr>
          <w:rFonts w:ascii="Kalpurush" w:cs="Kalpurush" w:eastAsia="Kalpurush" w:hAnsi="Kalpurush"/>
          <w:sz w:val="20"/>
          <w:szCs w:val="20"/>
        </w:rPr>
        <w:t xml:space="preserve">SAT Act-এর Section 144A স্পষ্টভাবে বিধান দিয়াছে যে, Section 144-এর অধীনে প্রস্তুতকৃত record-of-rights-এর প্রতিটি ভুক্তি ভুল প্রমাণিত না হওয়া পর্যন্ত সঠিক বলিয়া presumed হইবে। আপীল্যান্টপক্ষের case এই নহে যে SA ২৩৮ একটি "conclusive title deed"। </w:t>
      </w:r>
    </w:p>
    <w:p>
      <w:r>
        <w:rPr>
          <w:rFonts w:ascii="Kalpurush" w:cs="Kalpurush" w:eastAsia="Kalpurush" w:hAnsi="Kalpurush"/>
        </w:rPr>
        <w:t xml:space="preserve"/>
      </w:r>
    </w:p>
    <w:p>
      <w:r>
        <w:rPr>
          <w:rFonts w:ascii="Kalpurush" w:cs="Kalpurush" w:eastAsia="Kalpurush" w:hAnsi="Kalpurush"/>
          <w:sz w:val="20"/>
          <w:szCs w:val="20"/>
        </w:rPr>
        <w:t xml:space="preserve">বরং, আপীল্যান্টপক্ষের সুনির্দিষ্ট বক্তব্য হইল:</w:t>
      </w:r>
    </w:p>
    <w:p>
      <w:pPr>
        <w:ind w:left="720"/>
      </w:pPr>
      <w:r>
        <w:rPr>
          <w:rFonts w:ascii="Kalpurush" w:cs="Kalpurush" w:eastAsia="Kalpurush" w:hAnsi="Kalpurush"/>
          <w:b/>
          <w:bCs/>
          <w:i/>
          <w:iCs/>
          <w:sz w:val="20"/>
          <w:szCs w:val="20"/>
        </w:rPr>
        <w:t xml:space="preserve">SA ২৩৮ একটি statutory evidentiary advantage বহন করে; সেই advantage খণ্ডন (rebut) করিবার জন্য বিবাদীপক্ষকে reliable evidence উপস্থাপন করিতে হইবে।</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 certified/final SA record দাখিল করিয়াছে। পক্ষান্তরে বিবাদীপক্ষ দাবি করিতেছে যে, আব্দুল আলীর entry ভুল, আব্দুল করিম প্রকৃত tenant ছিলেন, ১৯৬৯ সালে সংশোধন হইয়াছে, এবং সোনাভানু interest পাইয়াছেন। Evidence Act-এর Section 103 অনুযায়ী, এই affirmative chain-এর factual foundation প্রমাণ করিবার সম্পূর্ণ দায় (burden of proof) বিবাদীপক্ষের উপরই বর্তায়।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III. Evidentiary Asymmetry: রাষ্ট্রীয় রেকর্ড বনাম বিবাদীপক্ষের দাবি</w:t>
      </w:r>
    </w:p>
    <w:p>
      <w:r>
        <w:rPr>
          <w:rFonts w:ascii="Kalpurush" w:cs="Kalpurush" w:eastAsia="Kalpurush" w:hAnsi="Kalpurush"/>
        </w:rPr>
        <w:t xml:space="preserve"/>
      </w:r>
    </w:p>
    <w:p>
      <w:r>
        <w:rPr>
          <w:rFonts w:ascii="Kalpurush" w:cs="Kalpurush" w:eastAsia="Kalpurush" w:hAnsi="Kalpurush"/>
          <w:sz w:val="20"/>
          <w:szCs w:val="20"/>
        </w:rPr>
        <w:t xml:space="preserve">এই মামলায় উভয় পক্ষের দালিলিক অবস্থান সমান্তরাল নহে। </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আপীল্যান্টদের দালিলিক ক্রম:</w:t>
      </w:r>
      <w:r>
        <w:rPr>
          <w:rFonts w:ascii="Kalpurush" w:cs="Kalpurush" w:eastAsia="Kalpurush" w:hAnsi="Kalpurush"/>
          <w:sz w:val="20"/>
          <w:szCs w:val="20"/>
        </w:rPr>
        <w:t xml:space="preserve"> CS ২ নং (খাস) → State Acquisition → SA জরিপ → SA ২৩৮ (আব্দুল আলী, ১৬ আনা) → জেলা রেকর্ড রুমে বর্তমান অবস্থাও অপরিবর্তিত → ১৯৫৭ সালের registered deed (সমসাময়িক দালিলিক সমর্থন)।</w:t>
      </w:r>
    </w:p>
    <w:p>
      <w:r>
        <w:rPr>
          <w:rFonts w:ascii="Kalpurush" w:cs="Kalpurush" w:eastAsia="Kalpurush" w:hAnsi="Kalpurush"/>
        </w:rPr>
        <w:t xml:space="preserve"/>
      </w:r>
    </w:p>
    <w:p>
      <w:r>
        <w:rPr>
          <w:rFonts w:ascii="Kalpurush" w:cs="Kalpurush" w:eastAsia="Kalpurush" w:hAnsi="Kalpurush"/>
          <w:b/>
          <w:bCs/>
          <w:sz w:val="20"/>
          <w:szCs w:val="20"/>
        </w:rPr>
        <w:t xml:space="preserve">বিবাদীপক্ষের competing ক্রম:</w:t>
      </w:r>
      <w:r>
        <w:rPr>
          <w:rFonts w:ascii="Kalpurush" w:cs="Kalpurush" w:eastAsia="Kalpurush" w:hAnsi="Kalpurush"/>
          <w:sz w:val="20"/>
          <w:szCs w:val="20"/>
        </w:rPr>
        <w:t xml:space="preserve"> কথিত ১৯৩৪ পত্তন → কথিত আব্দুল করিমের রায়তি স্বত্ব → কথিত উত্তরাধিকার → কথিত Misc Case 1181/1969 → কথিত সংশোধন → AC Land volume entry → বর্তমান স্বত্ব দাবি।</w:t>
      </w:r>
    </w:p>
    <w:p>
      <w:r>
        <w:rPr>
          <w:rFonts w:ascii="Kalpurush" w:cs="Kalpurush" w:eastAsia="Kalpurush" w:hAnsi="Kalpurush"/>
        </w:rPr>
        <w:t xml:space="preserve"/>
      </w:r>
    </w:p>
    <w:p>
      <w:r>
        <w:rPr>
          <w:rFonts w:ascii="Kalpurush" w:cs="Kalpurush" w:eastAsia="Kalpurush" w:hAnsi="Kalpurush"/>
          <w:sz w:val="20"/>
          <w:szCs w:val="20"/>
        </w:rPr>
        <w:t xml:space="preserve">বিবাদীপক্ষের এই chain-এর কোন স্তরটি primary documentary evidence দ্বারা প্রতিষ্ঠিত? বিশেষত, </w:t>
      </w:r>
      <w:r>
        <w:rPr>
          <w:rFonts w:ascii="Kalpurush" w:cs="Kalpurush" w:eastAsia="Kalpurush" w:hAnsi="Kalpurush"/>
          <w:b/>
          <w:bCs/>
          <w:sz w:val="20"/>
          <w:szCs w:val="20"/>
        </w:rPr>
        <w:t xml:space="preserve">১৯৬৯ সালের কথিত সংশোধনীর parent order কোথায়?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IV. CS ২ নং খতিয়ান ও কথিত ১৯৩৪ সালের পত্তন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CS ২ নং খতিয়ানে নালিশী জমি নবাব এস্টেটের খাস সম্পত্তি হিসাবে প্রতিফলিত; কোনো ব্যক্তিগত রায়তের নাম তথায় নাই।</w:t>
      </w:r>
    </w:p>
    <w:p>
      <w:r>
        <w:rPr>
          <w:rFonts w:ascii="Kalpurush" w:cs="Kalpurush" w:eastAsia="Kalpurush" w:hAnsi="Kalpurush"/>
        </w:rPr>
        <w:t xml:space="preserve"/>
      </w:r>
    </w:p>
    <w:p>
      <w:r>
        <w:rPr>
          <w:rFonts w:ascii="Kalpurush" w:cs="Kalpurush" w:eastAsia="Kalpurush" w:hAnsi="Kalpurush"/>
          <w:sz w:val="20"/>
          <w:szCs w:val="20"/>
        </w:rPr>
        <w:t xml:space="preserve">আমরা এমন absolute proposition করিতেছি না যে, "CS-এ নাম না থাকিলে ১৯৩৪ সালে tenancy সৃষ্টি হইতেই পারে না।" </w:t>
      </w:r>
    </w:p>
    <w:p>
      <w:r>
        <w:rPr>
          <w:rFonts w:ascii="Kalpurush" w:cs="Kalpurush" w:eastAsia="Kalpurush" w:hAnsi="Kalpurush"/>
        </w:rPr>
        <w:t xml:space="preserve"/>
      </w:r>
    </w:p>
    <w:p>
      <w:r>
        <w:rPr>
          <w:rFonts w:ascii="Kalpurush" w:cs="Kalpurush" w:eastAsia="Kalpurush" w:hAnsi="Kalpurush"/>
          <w:sz w:val="20"/>
          <w:szCs w:val="20"/>
        </w:rPr>
        <w:t xml:space="preserve">আমাদের সুনির্দিষ্ট আইনি বক্তব্য হইল:</w:t>
      </w:r>
    </w:p>
    <w:p>
      <w:pPr>
        <w:ind w:left="720"/>
      </w:pPr>
      <w:r>
        <w:rPr>
          <w:rFonts w:ascii="Kalpurush" w:cs="Kalpurush" w:eastAsia="Kalpurush" w:hAnsi="Kalpurush"/>
          <w:b/>
          <w:bCs/>
          <w:i/>
          <w:iCs/>
          <w:sz w:val="20"/>
          <w:szCs w:val="20"/>
        </w:rPr>
        <w:t xml:space="preserve">যেহেতু CS রেকর্ডে কোনো ব্যক্তিগত রায়ত নাই, সেহেতু বিবাদীপক্ষ যখন দাবি করে যে ১৯৩৪ সালে আব্দুল করিম একটি স্বতন্ত্র ও উত্তরাধিকারযোগ্য tenancy interest অর্জন করিয়াছিলেন, তখন সেই পরিবর্তনের documentary foundation প্রমাণ করা বিবাদীপক্ষের একটি material duty।</w:t>
      </w:r>
    </w:p>
    <w:p>
      <w:r>
        <w:rPr>
          <w:rFonts w:ascii="Kalpurush" w:cs="Kalpurush" w:eastAsia="Kalpurush" w:hAnsi="Kalpurush"/>
        </w:rPr>
        <w:t xml:space="preserve"/>
      </w:r>
    </w:p>
    <w:p>
      <w:r>
        <w:rPr>
          <w:rFonts w:ascii="Kalpurush" w:cs="Kalpurush" w:eastAsia="Kalpurush" w:hAnsi="Kalpurush"/>
          <w:sz w:val="20"/>
          <w:szCs w:val="20"/>
        </w:rPr>
        <w:t xml:space="preserve">primary evidence দ্বারা এই পত্তনের ভিত্তি প্রতিষ্ঠিত না হওয়া পর্যন্ত, শুধুমাত্র একটি গল্পের উপর ভর করিয়া final SA record-কে displace করা আইনত অসম্ভব।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V. সম্ভাব্য বিচারিক জিজ্ঞাসা: "আপনাদের পত্তন কোথায়?"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যদি প্রশ্ন করেন যে আপীল্যান্টদের title-এর উৎস কী, আমাদের বিনীত উত্তর হইবে:</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আমাদের বর্তমান দাবি আব্দুল করিমের alleged pattan হইতে উদ্ভূত নহে। আমাদের evidentiary starting point হইল State Acquisition-এর পর রাষ্ট্রের প্রস্তুতকৃত চূড়ান্ত Record-of-Rights (SA 238), যেখানে আব্দুল আলীকে ১৬ আনা রায়ত হিসাবে স্বীকৃতি দেওয়া হইয়াছে। আমরা কোনো missing historical settlement দিয়া SA record তৈরি করিতে বলিতেছি না; বরং বিবাদীপক্ষই সেই final State Record-কে ভুল বলিতেছে। অতএব, তাহাদের competing title theory এবং SA entry displaced হওয়ার legal event—উভয়টিই নির্ভরযোগ্য প্রমাণ দ্বারা প্রতিষ্ঠিত হওয়া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VI. ১৯৫৭ সালের দলিল নং ২৩৯৮ — Title Source নহে, Corroborative Circumstance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২৩৯৮/১৯৫৭ নং registered deed (Exhibit-2) SA জরিপকালীন সময়ের একটি সমসাময়িক দলিল। উক্ত দলিলভুক্ত ৩ নং দাগের জমি SA ২৩৮ নং খতিয়ানভুক্ত জমিরই অংশ।</w:t>
      </w:r>
    </w:p>
    <w:p>
      <w:r>
        <w:rPr>
          <w:rFonts w:ascii="Kalpurush" w:cs="Kalpurush" w:eastAsia="Kalpurush" w:hAnsi="Kalpurush"/>
        </w:rPr>
        <w:t xml:space="preserve"/>
      </w:r>
    </w:p>
    <w:p>
      <w:r>
        <w:rPr>
          <w:rFonts w:ascii="Kalpurush" w:cs="Kalpurush" w:eastAsia="Kalpurush" w:hAnsi="Kalpurush"/>
          <w:sz w:val="20"/>
          <w:szCs w:val="20"/>
        </w:rPr>
        <w:t xml:space="preserve">আমরা এই দলিলটিকে SA ২৩৮-এর আইনি উৎস বলিতেছি না।</w:t>
      </w:r>
    </w:p>
    <w:p>
      <w:r>
        <w:rPr>
          <w:rFonts w:ascii="Kalpurush" w:cs="Kalpurush" w:eastAsia="Kalpurush" w:hAnsi="Kalpurush"/>
          <w:sz w:val="20"/>
          <w:szCs w:val="20"/>
        </w:rPr>
        <w:t xml:space="preserve">বরং:</w:t>
      </w:r>
    </w:p>
    <w:p>
      <w:pPr>
        <w:ind w:left="720"/>
      </w:pPr>
      <w:r>
        <w:rPr>
          <w:rFonts w:ascii="Kalpurush" w:cs="Kalpurush" w:eastAsia="Kalpurush" w:hAnsi="Kalpurush"/>
          <w:b/>
          <w:bCs/>
          <w:i/>
          <w:iCs/>
          <w:sz w:val="20"/>
          <w:szCs w:val="20"/>
        </w:rPr>
        <w:t xml:space="preserve">"The 1957 registered deed is not the source of SA 238; it is a contemporaneous registered documentary circumstance concerning the very land later reflected in SA 238."</w:t>
      </w:r>
    </w:p>
    <w:p>
      <w:r>
        <w:rPr>
          <w:rFonts w:ascii="Kalpurush" w:cs="Kalpurush" w:eastAsia="Kalpurush" w:hAnsi="Kalpurush"/>
        </w:rPr>
        <w:t xml:space="preserve"/>
      </w:r>
    </w:p>
    <w:p>
      <w:r>
        <w:rPr>
          <w:rFonts w:ascii="Kalpurush" w:cs="Kalpurush" w:eastAsia="Kalpurush" w:hAnsi="Kalpurush"/>
          <w:sz w:val="20"/>
          <w:szCs w:val="20"/>
        </w:rPr>
        <w:t xml:space="preserve">এই দলিলটি প্রমাণ করে যে, সংশ্লিষ্ট জমির সহিত আব্দুল আলীর registered relationship বিদ্যমান ছিল, যাহা পরবর্তী final SA record-এর সহিত সম্পূর্ণ সামঞ্জস্যপূর্ণ। অতএব, এই corroborative দলিলের proper evidentiary weight নির্ধারণ না করিয়া অবজ্ঞা করা গুরুতর appellate error।</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VII. ১৯৬৯ সালের Misc Case 1181 — মূল আক্রমণের কেন্দ্র</w:t>
      </w:r>
    </w:p>
    <w:p>
      <w:r>
        <w:rPr>
          <w:rFonts w:ascii="Kalpurush" w:cs="Kalpurush" w:eastAsia="Kalpurush" w:hAnsi="Kalpurush"/>
        </w:rPr>
        <w:t xml:space="preserve"/>
      </w:r>
    </w:p>
    <w:p>
      <w:r>
        <w:rPr>
          <w:rFonts w:ascii="Kalpurush" w:cs="Kalpurush" w:eastAsia="Kalpurush" w:hAnsi="Kalpurush"/>
          <w:sz w:val="20"/>
          <w:szCs w:val="20"/>
        </w:rPr>
        <w:t xml:space="preserve">বিবাদীপক্ষের case অনুযায়ী, </w:t>
      </w:r>
      <w:r>
        <w:rPr>
          <w:rFonts w:ascii="Kalpurush" w:cs="Kalpurush" w:eastAsia="Kalpurush" w:hAnsi="Kalpurush"/>
          <w:b/>
          <w:bCs/>
          <w:sz w:val="20"/>
          <w:szCs w:val="20"/>
        </w:rPr>
        <w:t xml:space="preserve">Misc Case No. 1181/1969</w:t>
      </w:r>
      <w:r>
        <w:rPr>
          <w:rFonts w:ascii="Kalpurush" w:cs="Kalpurush" w:eastAsia="Kalpurush" w:hAnsi="Kalpurush"/>
          <w:sz w:val="20"/>
          <w:szCs w:val="20"/>
        </w:rPr>
        <w:t xml:space="preserve"> হইল সেই legal event, যাহার মাধ্যমে SA ২৩৮-এর অবস্থান পরিবর্তিত হইয়া সোনাভানুর interest সৃষ্টি হইয়াছে।</w:t>
      </w:r>
    </w:p>
    <w:p>
      <w:r>
        <w:rPr>
          <w:rFonts w:ascii="Kalpurush" w:cs="Kalpurush" w:eastAsia="Kalpurush" w:hAnsi="Kalpurush"/>
        </w:rPr>
        <w:t xml:space="preserve"/>
      </w:r>
    </w:p>
    <w:p>
      <w:r>
        <w:rPr>
          <w:rFonts w:ascii="Kalpurush" w:cs="Kalpurush" w:eastAsia="Kalpurush" w:hAnsi="Kalpurush"/>
          <w:sz w:val="20"/>
          <w:szCs w:val="20"/>
        </w:rPr>
        <w:t xml:space="preserve">একটি alleged corrective event-কে আইনি স্বীকৃতি দেওয়ার পূর্বে নিম্নোক্ত বিষয়গুলি প্রমাণ হওয়া অপরিহার্য:</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Existence:</w:t>
      </w:r>
      <w:r>
        <w:rPr>
          <w:rFonts w:ascii="Kalpurush" w:cs="Kalpurush" w:eastAsia="Kalpurush" w:hAnsi="Kalpurush"/>
          <w:sz w:val="20"/>
          <w:szCs w:val="20"/>
        </w:rPr>
        <w:t xml:space="preserve"> উক্ত proceeding-এর authoritative record কোথায়?</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Contents:</w:t>
      </w:r>
      <w:r>
        <w:rPr>
          <w:rFonts w:ascii="Kalpurush" w:cs="Kalpurush" w:eastAsia="Kalpurush" w:hAnsi="Kalpurush"/>
          <w:sz w:val="20"/>
          <w:szCs w:val="20"/>
        </w:rPr>
        <w:t xml:space="preserve"> যে order-এর উপর বিবাদীপক্ষ নির্ভর করিতেছে, তাহার exact terms কী ছিল?</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Jurisdiction:</w:t>
      </w:r>
      <w:r>
        <w:rPr>
          <w:rFonts w:ascii="Kalpurush" w:cs="Kalpurush" w:eastAsia="Kalpurush" w:hAnsi="Kalpurush"/>
          <w:sz w:val="20"/>
          <w:szCs w:val="20"/>
        </w:rPr>
        <w:t xml:space="preserve"> উক্ত forum-এর substantive issue নির্ধারণের jurisdiction ছিল কি না?</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Parties and Notice:</w:t>
      </w:r>
      <w:r>
        <w:rPr>
          <w:rFonts w:ascii="Kalpurush" w:cs="Kalpurush" w:eastAsia="Kalpurush" w:hAnsi="Kalpurush"/>
          <w:sz w:val="20"/>
          <w:szCs w:val="20"/>
        </w:rPr>
        <w:t xml:space="preserve"> Recorded interest-holder আব্দুল আলী কি পক্ষভুক্ত বা notified ছিলেন?</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Legal Effect:</w:t>
      </w:r>
      <w:r>
        <w:rPr>
          <w:rFonts w:ascii="Kalpurush" w:cs="Kalpurush" w:eastAsia="Kalpurush" w:hAnsi="Kalpurush"/>
          <w:sz w:val="20"/>
          <w:szCs w:val="20"/>
        </w:rPr>
        <w:t xml:space="preserve"> Order-টি title পরিবর্তনের legal effect সৃষ্টি করিতে সক্ষম ছিল কি না?</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Implementation:</w:t>
      </w:r>
      <w:r>
        <w:rPr>
          <w:rFonts w:ascii="Kalpurush" w:cs="Kalpurush" w:eastAsia="Kalpurush" w:hAnsi="Kalpurush"/>
          <w:sz w:val="20"/>
          <w:szCs w:val="20"/>
        </w:rPr>
        <w:t xml:space="preserve"> Order-টি কীভাবে revenue system-এ কার্যকর হইল?</w:t>
      </w:r>
    </w:p>
    <w:p>
      <w:r>
        <w:rPr>
          <w:rFonts w:ascii="Kalpurush" w:cs="Kalpurush" w:eastAsia="Kalpurush" w:hAnsi="Kalpurush"/>
          <w:sz w:val="20"/>
          <w:szCs w:val="20"/>
        </w:rPr>
        <w:t xml:space="preserve">৭. </w:t>
      </w:r>
      <w:r>
        <w:rPr>
          <w:rFonts w:ascii="Kalpurush" w:cs="Kalpurush" w:eastAsia="Kalpurush" w:hAnsi="Kalpurush"/>
          <w:b/>
          <w:bCs/>
          <w:sz w:val="20"/>
          <w:szCs w:val="20"/>
        </w:rPr>
        <w:t xml:space="preserve">Corresponding Record:</w:t>
      </w:r>
      <w:r>
        <w:rPr>
          <w:rFonts w:ascii="Kalpurush" w:cs="Kalpurush" w:eastAsia="Kalpurush" w:hAnsi="Kalpurush"/>
          <w:sz w:val="20"/>
          <w:szCs w:val="20"/>
        </w:rPr>
        <w:t xml:space="preserve"> সংশোধনের authoritative documentary manifestation কোথায়?</w:t>
      </w:r>
    </w:p>
    <w:p>
      <w:r>
        <w:rPr>
          <w:rFonts w:ascii="Kalpurush" w:cs="Kalpurush" w:eastAsia="Kalpurush" w:hAnsi="Kalpurush"/>
        </w:rPr>
        <w:t xml:space="preserve"/>
      </w:r>
    </w:p>
    <w:p>
      <w:r>
        <w:rPr>
          <w:rFonts w:ascii="Kalpurush" w:cs="Kalpurush" w:eastAsia="Kalpurush" w:hAnsi="Kalpurush"/>
          <w:sz w:val="20"/>
          <w:szCs w:val="20"/>
        </w:rPr>
        <w:t xml:space="preserve">এই মৌলিক প্রশ্নগুলির উত্তর ব্যতিরেকে, কেবলমাত্র একটি volume note-এর অস্তিত্ব দ্বারা substantive displacement প্রতিষ্ঠা করা আইন ও প্রমাণের দৃষ্টিতে সম্পূর্ণ ভিত্তিহীন।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VIII. Parent Order অনুপস্থিত — Consequential Entry-এর আইনি সীমা</w:t>
      </w:r>
    </w:p>
    <w:p>
      <w:r>
        <w:rPr>
          <w:rFonts w:ascii="Kalpurush" w:cs="Kalpurush" w:eastAsia="Kalpurush" w:hAnsi="Kalpurush"/>
        </w:rPr>
        <w:t xml:space="preserve"/>
      </w:r>
    </w:p>
    <w:p>
      <w:r>
        <w:rPr>
          <w:rFonts w:ascii="Kalpurush" w:cs="Kalpurush" w:eastAsia="Kalpurush" w:hAnsi="Kalpurush"/>
          <w:sz w:val="20"/>
          <w:szCs w:val="20"/>
        </w:rPr>
        <w:t xml:space="preserve">আমাদের অবস্থান অত্যন্ত পরিমিত:</w:t>
      </w:r>
    </w:p>
    <w:p>
      <w:pPr>
        <w:ind w:left="720"/>
      </w:pPr>
      <w:r>
        <w:rPr>
          <w:rFonts w:ascii="Kalpurush" w:cs="Kalpurush" w:eastAsia="Kalpurush" w:hAnsi="Kalpurush"/>
          <w:b/>
          <w:bCs/>
          <w:i/>
          <w:iCs/>
          <w:sz w:val="20"/>
          <w:szCs w:val="20"/>
        </w:rPr>
        <w:t xml:space="preserve">"আমরা আদালতকে বলিতেছি না যে AC Land volume entry মিথ্যা। আমরা বলিতেছি, উক্ত entry যে আইনি প্রক্রিয়ার (legal event) ফল বলিয়া দাবি করা হইতেছে, সেই আইনি প্রক্রিয়াটি স্বয়ং প্রমাণিত নহে।"</w:t>
      </w:r>
    </w:p>
    <w:p>
      <w:r>
        <w:rPr>
          <w:rFonts w:ascii="Kalpurush" w:cs="Kalpurush" w:eastAsia="Kalpurush" w:hAnsi="Kalpurush"/>
        </w:rPr>
        <w:t xml:space="preserve"/>
      </w:r>
    </w:p>
    <w:p>
      <w:r>
        <w:rPr>
          <w:rFonts w:ascii="Kalpurush" w:cs="Kalpurush" w:eastAsia="Kalpurush" w:hAnsi="Kalpurush"/>
          <w:sz w:val="20"/>
          <w:szCs w:val="20"/>
        </w:rPr>
        <w:t xml:space="preserve">একটি administrative entry-এর evidentiary value তাহার legal source-এর উপর নির্ভর করে। যদি parent order-ই আদালতে উপস্থাপিত না হয়, তবে consequential entry হইতে parent order-এর substantive effect অনুমান করা সম্পূর্ণ অনিরাপদ এবং বেআইনি।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IX. District Settlement Record Room-এ সংশোধনের প্রতিফলন না থাকা</w:t>
      </w:r>
    </w:p>
    <w:p>
      <w:r>
        <w:rPr>
          <w:rFonts w:ascii="Kalpurush" w:cs="Kalpurush" w:eastAsia="Kalpurush" w:hAnsi="Kalpurush"/>
        </w:rPr>
        <w:t xml:space="preserve"/>
      </w:r>
    </w:p>
    <w:p>
      <w:r>
        <w:rPr>
          <w:rFonts w:ascii="Kalpurush" w:cs="Kalpurush" w:eastAsia="Kalpurush" w:hAnsi="Kalpurush"/>
          <w:sz w:val="20"/>
          <w:szCs w:val="20"/>
        </w:rPr>
        <w:t xml:space="preserve">বিবাদীপক্ষের theory হইল: ১৯৬৯ → correction → সোনাভানুর substantive interest। </w:t>
      </w:r>
    </w:p>
    <w:p>
      <w:r>
        <w:rPr>
          <w:rFonts w:ascii="Kalpurush" w:cs="Kalpurush" w:eastAsia="Kalpurush" w:hAnsi="Kalpurush"/>
          <w:sz w:val="20"/>
          <w:szCs w:val="20"/>
        </w:rPr>
        <w:t xml:space="preserve">অথচ, বর্তমান District Settlement Record Room-এর সংরক্ষিত SA ২৩৮ খতিয়ানে </w:t>
      </w:r>
      <w:r>
        <w:rPr>
          <w:rFonts w:ascii="Kalpurush" w:cs="Kalpurush" w:eastAsia="Kalpurush" w:hAnsi="Kalpurush"/>
          <w:b/>
          <w:bCs/>
          <w:sz w:val="20"/>
          <w:szCs w:val="20"/>
        </w:rPr>
        <w:t xml:space="preserve">আব্দুল আলী এখনও একক recorded raiyat।</w:t>
      </w:r>
    </w:p>
    <w:p>
      <w:r>
        <w:rPr>
          <w:rFonts w:ascii="Kalpurush" w:cs="Kalpurush" w:eastAsia="Kalpurush" w:hAnsi="Kalpurush"/>
        </w:rPr>
        <w:t xml:space="preserve"/>
      </w:r>
    </w:p>
    <w:p>
      <w:r>
        <w:rPr>
          <w:rFonts w:ascii="Kalpurush" w:cs="Kalpurush" w:eastAsia="Kalpurush" w:hAnsi="Kalpurush"/>
          <w:sz w:val="20"/>
          <w:szCs w:val="20"/>
        </w:rPr>
        <w:t xml:space="preserve">অর্থাৎ, alleged substantive result-এর corresponding final record বর্তমানে দৃশ্যমান নহে। বিবাদীপক্ষের কাছে যদি সংশোধিত SA ২৩৮-এর certified copy থাকিত, অথবা correction order থাকিত, তাহা দাখিল করা যাইত। কিন্তু আদালতের সম্মুখে এমন কোনো complete documentary chain নাই। </w:t>
      </w:r>
    </w:p>
    <w:p>
      <w:r>
        <w:rPr>
          <w:rFonts w:ascii="Kalpurush" w:cs="Kalpurush" w:eastAsia="Kalpurush" w:hAnsi="Kalpurush"/>
        </w:rPr>
        <w:t xml:space="preserve"/>
      </w:r>
    </w:p>
    <w:p>
      <w:r>
        <w:rPr>
          <w:rFonts w:ascii="Kalpurush" w:cs="Kalpurush" w:eastAsia="Kalpurush" w:hAnsi="Kalpurush"/>
          <w:sz w:val="20"/>
          <w:szCs w:val="20"/>
        </w:rPr>
        <w:t xml:space="preserve">অতএব, present District Record Room-এর অপরিবর্তিত অবস্থান আপীল্যান্টদের দাবির পক্ষে </w:t>
      </w:r>
      <w:r>
        <w:rPr>
          <w:rFonts w:ascii="Kalpurush" w:cs="Kalpurush" w:eastAsia="Kalpurush" w:hAnsi="Kalpurush"/>
          <w:b/>
          <w:bCs/>
          <w:sz w:val="20"/>
          <w:szCs w:val="20"/>
        </w:rPr>
        <w:t xml:space="preserve">একটি অত্যন্ত শক্তিশালী corroborative circumstance</w:t>
      </w:r>
      <w:r>
        <w:rPr>
          <w:rFonts w:ascii="Kalpurush" w:cs="Kalpurush" w:eastAsia="Kalpurush" w:hAnsi="Kalpurush"/>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 "তাহলে বিবাদীরা সংশোধিত কপি নিজেদের কাছে রাখবে কেন?"</w:t>
      </w:r>
    </w:p>
    <w:p>
      <w:r>
        <w:rPr>
          <w:rFonts w:ascii="Kalpurush" w:cs="Kalpurush" w:eastAsia="Kalpurush" w:hAnsi="Kalpurush"/>
        </w:rPr>
        <w:t xml:space="preserve"/>
      </w:r>
    </w:p>
    <w:p>
      <w:r>
        <w:rPr>
          <w:rFonts w:ascii="Kalpurush" w:cs="Kalpurush" w:eastAsia="Kalpurush" w:hAnsi="Kalpurush"/>
          <w:sz w:val="20"/>
          <w:szCs w:val="20"/>
        </w:rPr>
        <w:t xml:space="preserve">এই যুক্তির আইনি রূপ হওয়া উচিত:</w:t>
      </w:r>
    </w:p>
    <w:p>
      <w:pPr>
        <w:ind w:left="720"/>
      </w:pPr>
      <w:r>
        <w:rPr>
          <w:rFonts w:ascii="Kalpurush" w:cs="Kalpurush" w:eastAsia="Kalpurush" w:hAnsi="Kalpurush"/>
          <w:b/>
          <w:bCs/>
          <w:i/>
          <w:iCs/>
          <w:sz w:val="20"/>
          <w:szCs w:val="20"/>
        </w:rPr>
        <w:t xml:space="preserve">"যে পক্ষ একটি specific corrected state of record-এর উপর স্বত্ব দাবি করিতেছে, সেই corrected state-এর authoritative documentary proof আদালতের সম্মুখে উপস্থাপন করা তাহাদেরই পবিত্র দায়িত্ব। বিশেষত যখন present District Settlement Record Room অদ্যাবধি আব্দুল আলীর নাম বহাল রাখিয়াছে। একটি private litigation-এ isolated volume notation-এর তুলনায় competent public record-এর গুরুত্ব অনেক ঊর্ধ্বে।"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XI. AC Land Volume — ক্ষমতার প্রশ্ন নহে, এই নির্দিষ্ট exercise-এর প্রশ্ন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আপীল্যান্টপক্ষ এমন কোনো absolute rule দাঁড় করাইতেছে না যে Revenue Officer কোনো record update করিতে পারেন না। </w:t>
      </w:r>
    </w:p>
    <w:p>
      <w:r>
        <w:rPr>
          <w:rFonts w:ascii="Kalpurush" w:cs="Kalpurush" w:eastAsia="Kalpurush" w:hAnsi="Kalpurush"/>
        </w:rPr>
        <w:t xml:space="preserve"/>
      </w:r>
    </w:p>
    <w:p>
      <w:r>
        <w:rPr>
          <w:rFonts w:ascii="Kalpurush" w:cs="Kalpurush" w:eastAsia="Kalpurush" w:hAnsi="Kalpurush"/>
          <w:sz w:val="20"/>
          <w:szCs w:val="20"/>
        </w:rPr>
        <w:t xml:space="preserve">আমাদের বিনীত submission অত্যন্ত সুনির্দিষ্ট:</w:t>
      </w:r>
    </w:p>
    <w:p>
      <w:pPr>
        <w:ind w:left="720"/>
      </w:pPr>
      <w:r>
        <w:rPr>
          <w:rFonts w:ascii="Kalpurush" w:cs="Kalpurush" w:eastAsia="Kalpurush" w:hAnsi="Kalpurush"/>
          <w:b/>
          <w:bCs/>
          <w:i/>
          <w:iCs/>
          <w:sz w:val="20"/>
          <w:szCs w:val="20"/>
        </w:rPr>
        <w:t xml:space="preserve">"Statutory power may exist in appropriate cases; but the existence of that general power does not prove that this particular substantive alteration was lawfully made."</w:t>
      </w:r>
    </w:p>
    <w:p>
      <w:r>
        <w:rPr>
          <w:rFonts w:ascii="Kalpurush" w:cs="Kalpurush" w:eastAsia="Kalpurush" w:hAnsi="Kalpurush"/>
        </w:rPr>
        <w:t xml:space="preserve"/>
      </w:r>
    </w:p>
    <w:p>
      <w:r>
        <w:rPr>
          <w:rFonts w:ascii="Kalpurush" w:cs="Kalpurush" w:eastAsia="Kalpurush" w:hAnsi="Kalpurush"/>
          <w:sz w:val="20"/>
          <w:szCs w:val="20"/>
        </w:rPr>
        <w:t xml:space="preserve">আদালতের সম্মুখে প্রশ্ন হইল: এই নির্দিষ্ট entry কোন proceeding-এর, কোন authority-এর, কোন factual basis-এর, এবং কোন notice/order-এর ফল? </w:t>
      </w:r>
      <w:r>
        <w:rPr>
          <w:rFonts w:ascii="Kalpurush" w:cs="Kalpurush" w:eastAsia="Kalpurush" w:hAnsi="Kalpurush"/>
          <w:b/>
          <w:bCs/>
          <w:sz w:val="20"/>
          <w:szCs w:val="20"/>
        </w:rPr>
        <w:t xml:space="preserve">এই particular exercise-এর proof কোথায়?</w:t>
      </w:r>
      <w:r>
        <w:rPr>
          <w:rFonts w:ascii="Kalpurush" w:cs="Kalpurush" w:eastAsia="Kalpurush" w:hAnsi="Kalpurush"/>
          <w:sz w:val="20"/>
          <w:szCs w:val="20"/>
        </w:rPr>
        <w:t xml:space="preserve"> এই প্রমাণ ব্যতীত, Section 143-এর সাধারণ ক্ষমতাকে ১৯৬৯ সালের নির্দিষ্ট substantive correction-এর প্রমাণ হিসাবে গণ্য করা যায়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XII. DW-4-এর সাক্ষ্য — Provenance প্রমাণে সম্পূর্ণ ব্যর্থতা</w:t>
      </w:r>
    </w:p>
    <w:p>
      <w:r>
        <w:rPr>
          <w:rFonts w:ascii="Kalpurush" w:cs="Kalpurush" w:eastAsia="Kalpurush" w:hAnsi="Kalpurush"/>
        </w:rPr>
        <w:t xml:space="preserve"/>
      </w:r>
    </w:p>
    <w:p>
      <w:r>
        <w:rPr>
          <w:rFonts w:ascii="Kalpurush" w:cs="Kalpurush" w:eastAsia="Kalpurush" w:hAnsi="Kalpurush"/>
          <w:sz w:val="20"/>
          <w:szCs w:val="20"/>
        </w:rPr>
        <w:t xml:space="preserve">বিবাদীদের তলবকৃত সাক্ষী DW-4 (মোঃ আজম খান)-এর জবানবন্দি appellate scrutiny-তে বিশেষ গুরুত্ব বহন করে। তিনি স্বীকার করিয়াছেন:</w:t>
      </w:r>
    </w:p>
    <w:p>
      <w:pPr>
        <w:ind w:left="720"/>
      </w:pPr>
      <w:r>
        <w:rPr>
          <w:rFonts w:ascii="Kalpurush" w:cs="Kalpurush" w:eastAsia="Kalpurush" w:hAnsi="Kalpurush"/>
          <w:i/>
          <w:iCs/>
          <w:sz w:val="20"/>
          <w:szCs w:val="20"/>
        </w:rPr>
        <w:t xml:space="preserve">"ভলিউমে মন্তব্য কলামে মিসকেস নাম্বার কত লিখা তা বুঝা যায় না।"</w:t>
      </w:r>
    </w:p>
    <w:p>
      <w:pPr>
        <w:ind w:left="720"/>
      </w:pPr>
      <w:r>
        <w:rPr>
          <w:rFonts w:ascii="Kalpurush" w:cs="Kalpurush" w:eastAsia="Kalpurush" w:hAnsi="Kalpurush"/>
          <w:i/>
          <w:iCs/>
          <w:sz w:val="20"/>
          <w:szCs w:val="20"/>
        </w:rPr>
        <w:t xml:space="preserve">"কে বা কত তারিখ তা লিখা হয়েছে বলতে পারব না।"</w:t>
      </w:r>
    </w:p>
    <w:p>
      <w:pPr>
        <w:ind w:left="720"/>
      </w:pPr>
      <w:r>
        <w:rPr>
          <w:rFonts w:ascii="Kalpurush" w:cs="Kalpurush" w:eastAsia="Kalpurush" w:hAnsi="Kalpurush"/>
          <w:i/>
          <w:iCs/>
          <w:sz w:val="20"/>
          <w:szCs w:val="20"/>
        </w:rPr>
        <w:t xml:space="preserve">"সোনা ভানুর নাম ভিন্ন কালিতে কেন লিখা বলতে পারব না।"</w:t>
      </w:r>
    </w:p>
    <w:p>
      <w:r>
        <w:rPr>
          <w:rFonts w:ascii="Kalpurush" w:cs="Kalpurush" w:eastAsia="Kalpurush" w:hAnsi="Kalpurush"/>
        </w:rPr>
        <w:t xml:space="preserve"/>
      </w:r>
    </w:p>
    <w:p>
      <w:r>
        <w:rPr>
          <w:rFonts w:ascii="Kalpurush" w:cs="Kalpurush" w:eastAsia="Kalpurush" w:hAnsi="Kalpurush"/>
          <w:sz w:val="20"/>
          <w:szCs w:val="20"/>
        </w:rPr>
        <w:t xml:space="preserve">অর্থাৎ, </w:t>
      </w:r>
      <w:r>
        <w:rPr>
          <w:rFonts w:ascii="Kalpurush" w:cs="Kalpurush" w:eastAsia="Kalpurush" w:hAnsi="Kalpurush"/>
          <w:b/>
          <w:bCs/>
          <w:sz w:val="20"/>
          <w:szCs w:val="20"/>
        </w:rPr>
        <w:t xml:space="preserve">DW-4 could not establish the provenance, authorship, legal source, or underlying proceeding of the entry.</w:t>
      </w:r>
      <w:r>
        <w:rPr>
          <w:rFonts w:ascii="Kalpurush" w:cs="Kalpurush" w:eastAsia="Kalpurush" w:hAnsi="Kalpurush"/>
          <w:sz w:val="20"/>
          <w:szCs w:val="20"/>
        </w:rPr>
        <w:t xml:space="preserve"> </w:t>
      </w:r>
    </w:p>
    <w:p>
      <w:r>
        <w:rPr>
          <w:rFonts w:ascii="Kalpurush" w:cs="Kalpurush" w:eastAsia="Kalpurush" w:hAnsi="Kalpurush"/>
        </w:rPr>
        <w:t xml:space="preserve"/>
      </w:r>
    </w:p>
    <w:p>
      <w:r>
        <w:rPr>
          <w:rFonts w:ascii="Kalpurush" w:cs="Kalpurush" w:eastAsia="Kalpurush" w:hAnsi="Kalpurush"/>
          <w:sz w:val="20"/>
          <w:szCs w:val="20"/>
        </w:rPr>
        <w:t xml:space="preserve">অতএব, যে entry-কে substantive title displacement-এর ভিত্তি করা হইয়াছে, তাহার evidentiary weight সম্পূর্ণরূপে ধ্বংসপ্রাপ্ত।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XIII. "ভিন্ন কালিতে লেখা" — Circumstantial Evidence</w:t>
      </w:r>
    </w:p>
    <w:p>
      <w:r>
        <w:rPr>
          <w:rFonts w:ascii="Kalpurush" w:cs="Kalpurush" w:eastAsia="Kalpurush" w:hAnsi="Kalpurush"/>
        </w:rPr>
        <w:t xml:space="preserve"/>
      </w:r>
    </w:p>
    <w:p>
      <w:r>
        <w:rPr>
          <w:rFonts w:ascii="Kalpurush" w:cs="Kalpurush" w:eastAsia="Kalpurush" w:hAnsi="Kalpurush"/>
          <w:sz w:val="20"/>
          <w:szCs w:val="20"/>
        </w:rPr>
        <w:t xml:space="preserve">ভিন্ন কালি বা হাতের লেখা নিজেই জালিয়াতির (fraud) অকাট্য প্রমাণ নহে। আমাদের appellate argument হইল:</w:t>
      </w:r>
    </w:p>
    <w:p>
      <w:pPr>
        <w:ind w:left="720"/>
      </w:pPr>
      <w:r>
        <w:rPr>
          <w:rFonts w:ascii="Kalpurush" w:cs="Kalpurush" w:eastAsia="Kalpurush" w:hAnsi="Kalpurush"/>
          <w:b/>
          <w:bCs/>
          <w:i/>
          <w:iCs/>
          <w:sz w:val="20"/>
          <w:szCs w:val="20"/>
        </w:rPr>
        <w:t xml:space="preserve">"The different ink is not relied upon as conclusive proof of fraud. It is relied upon only as a circumstance reinforcing the need for the respondents to establish the entry’s provenance, authorship, and legal source."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XIV. ১৯৭৫ সালের দলিল নং ৩৫৯৬ — সর্বোত্তম Factual Contradiction</w:t>
      </w:r>
    </w:p>
    <w:p>
      <w:r>
        <w:rPr>
          <w:rFonts w:ascii="Kalpurush" w:cs="Kalpurush" w:eastAsia="Kalpurush" w:hAnsi="Kalpurush"/>
        </w:rPr>
        <w:t xml:space="preserve"/>
      </w:r>
    </w:p>
    <w:p>
      <w:r>
        <w:rPr>
          <w:rFonts w:ascii="Kalpurush" w:cs="Kalpurush" w:eastAsia="Kalpurush" w:hAnsi="Kalpurush"/>
          <w:sz w:val="20"/>
          <w:szCs w:val="20"/>
        </w:rPr>
        <w:t xml:space="preserve">বিবাদীপক্ষের case অনুযায়ী, ১৯৬৯ সালের correction-এর ফলে SA ২৩৮ একটি দাগে (১২৫৯) সীমাবদ্ধ হইয়া যায়। </w:t>
      </w:r>
    </w:p>
    <w:p>
      <w:r>
        <w:rPr>
          <w:rFonts w:ascii="Kalpurush" w:cs="Kalpurush" w:eastAsia="Kalpurush" w:hAnsi="Kalpurush"/>
          <w:sz w:val="20"/>
          <w:szCs w:val="20"/>
        </w:rPr>
        <w:t xml:space="preserve">অথচ, তাহাদের নিজেদের সম্পাদিত ১৯৭৫ সালের registered deed (Exhibit Kha-2)-এ SA ২৩৮-এর অধীনে </w:t>
      </w:r>
      <w:r>
        <w:rPr>
          <w:rFonts w:ascii="Kalpurush" w:cs="Kalpurush" w:eastAsia="Kalpurush" w:hAnsi="Kalpurush"/>
          <w:b/>
          <w:bCs/>
          <w:sz w:val="20"/>
          <w:szCs w:val="20"/>
        </w:rPr>
        <w:t xml:space="preserve">ছয়টি দাগের (১২৫৯, ৭৫, ৩, ৫৪, ১২৫২ এবং ১২২০)</w:t>
      </w:r>
      <w:r>
        <w:rPr>
          <w:rFonts w:ascii="Kalpurush" w:cs="Kalpurush" w:eastAsia="Kalpurush" w:hAnsi="Kalpurush"/>
          <w:sz w:val="20"/>
          <w:szCs w:val="20"/>
        </w:rPr>
        <w:t xml:space="preserve"> বিবরণ রহিয়াছে।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"If the alleged 1969 correction had reduced SA 238 to one dag, why does the respondents’ own registered deed of 1975 describe six dags under the same khatian?"</w:t>
      </w:r>
    </w:p>
    <w:p>
      <w:r>
        <w:rPr>
          <w:rFonts w:ascii="Kalpurush" w:cs="Kalpurush" w:eastAsia="Kalpurush" w:hAnsi="Kalpurush"/>
        </w:rPr>
        <w:t xml:space="preserve"/>
      </w:r>
    </w:p>
    <w:p>
      <w:r>
        <w:rPr>
          <w:rFonts w:ascii="Kalpurush" w:cs="Kalpurush" w:eastAsia="Kalpurush" w:hAnsi="Kalpurush"/>
          <w:sz w:val="20"/>
          <w:szCs w:val="20"/>
        </w:rPr>
        <w:t xml:space="preserve">এই material contradiction ১৯৬৯ সালের সংশোধনের theory-কে সম্পূর্ণরূপে অবিশ্বাস্য করিয়া তোলে।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XV-XVI. পরিচয়গত অসঙ্গতি ও Selective Entry</w:t>
      </w:r>
    </w:p>
    <w:p>
      <w:r>
        <w:rPr>
          <w:rFonts w:ascii="Kalpurush" w:cs="Kalpurush" w:eastAsia="Kalpurush" w:hAnsi="Kalpurush"/>
        </w:rPr>
        <w:t xml:space="preserve"/>
      </w:r>
    </w:p>
    <w:p>
      <w:r>
        <w:rPr>
          <w:rFonts w:ascii="Kalpurush" w:cs="Kalpurush" w:eastAsia="Kalpurush" w:hAnsi="Kalpurush"/>
          <w:sz w:val="20"/>
          <w:szCs w:val="20"/>
        </w:rPr>
        <w:t xml:space="preserve">১৯৭৫ সালের দলিলে বেলুয়ার স্বামীর নাম (সোবান) এবং আরজিতে প্রদত্ত নামের (আব্দুল কদ্দুস) মধ্যে অসামঞ্জস্য রহিয়াছে। উপরন্তু, বিবাদীপক্ষের inheritance narrative অনুযায়ী আব্দুল করিমের অন্য ওয়ারিশদের (বেলুয়া ও কমলা) নাম রেকর্ডে না আসিয়া কেবলমাত্র সোনাভানুর नाम কীভাবে selective ভাবে আসিল, তাহার কোনো সন্তোষজনক ব্যাখ্যা বিবাদীপক্ষ দিতে পারে নাই। ইহা parent order না থাকার সহিত যুক্ত একটি প্রবল corroborative inconsistency।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XVII. SA ৯১ নং খতিয়ানের অসঙ্গতি</w:t>
      </w:r>
    </w:p>
    <w:p>
      <w:r>
        <w:rPr>
          <w:rFonts w:ascii="Kalpurush" w:cs="Kalpurush" w:eastAsia="Kalpurush" w:hAnsi="Kalpurush"/>
        </w:rPr>
        <w:t xml:space="preserve"/>
      </w:r>
    </w:p>
    <w:p>
      <w:r>
        <w:rPr>
          <w:rFonts w:ascii="Kalpurush" w:cs="Kalpurush" w:eastAsia="Kalpurush" w:hAnsi="Kalpurush"/>
          <w:sz w:val="20"/>
          <w:szCs w:val="20"/>
        </w:rPr>
        <w:t xml:space="preserve">যদি certified record অনুযায়ী SA 91-এর কপিতে Plot 1252-এর entry পুনরাবৃত্ত হয় এবং দুইবার ভিন্ন area প্রদর্শিত হয়, তবে:</w:t>
      </w:r>
    </w:p>
    <w:p>
      <w:pPr>
        <w:ind w:left="720"/>
      </w:pPr>
      <w:r>
        <w:rPr>
          <w:rFonts w:ascii="Kalpurush" w:cs="Kalpurush" w:eastAsia="Kalpurush" w:hAnsi="Kalpurush"/>
          <w:b/>
          <w:bCs/>
          <w:i/>
          <w:iCs/>
          <w:sz w:val="20"/>
          <w:szCs w:val="20"/>
        </w:rPr>
        <w:t xml:space="preserve">"The produced copy contains a material internal inconsistency which affects its provenance and evidentiary weight, requiring strict judicial scrutiny."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XVIII-XIX. Evidence Act Section 114(g) — Adverse Inference</w:t>
      </w:r>
    </w:p>
    <w:p>
      <w:r>
        <w:rPr>
          <w:rFonts w:ascii="Kalpurush" w:cs="Kalpurush" w:eastAsia="Kalpurush" w:hAnsi="Kalpurush"/>
        </w:rPr>
        <w:t xml:space="preserve"/>
      </w:r>
    </w:p>
    <w:p>
      <w:r>
        <w:rPr>
          <w:rFonts w:ascii="Kalpurush" w:cs="Kalpurush" w:eastAsia="Kalpurush" w:hAnsi="Kalpurush"/>
          <w:sz w:val="20"/>
          <w:szCs w:val="20"/>
        </w:rPr>
        <w:t xml:space="preserve">কথিত Misc Case-এর order বা certified record আদালতে উপস্থাপন না করার কারণে Evidence Act-এর Section 114(g) অনুযায়ী বিবাদীপক্ষের বিরুদ্ধে প্রতিকূল অনুমান (adverse inference) গ্রহণ করা সম্পূর্ণরূপে ন্যায়সঙ্গত। </w:t>
      </w:r>
    </w:p>
    <w:p>
      <w:pPr>
        <w:ind w:left="720"/>
      </w:pPr>
      <w:r>
        <w:rPr>
          <w:rFonts w:ascii="Kalpurush" w:cs="Kalpurush" w:eastAsia="Kalpurush" w:hAnsi="Kalpurush"/>
          <w:b/>
          <w:bCs/>
          <w:i/>
          <w:iCs/>
          <w:sz w:val="20"/>
          <w:szCs w:val="20"/>
        </w:rPr>
        <w:t xml:space="preserve">"The absence of the best available evidence justifies an adverse inference in the context of the entire evidentiary record."</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XX-XXI. "বাদীর দুর্বলতা বিবাদীর স্বত্ব নহে"</w:t>
      </w:r>
    </w:p>
    <w:p>
      <w:r>
        <w:rPr>
          <w:rFonts w:ascii="Kalpurush" w:cs="Kalpurush" w:eastAsia="Kalpurush" w:hAnsi="Kalpurush"/>
        </w:rPr>
        <w:t xml:space="preserve"/>
      </w:r>
    </w:p>
    <w:p>
      <w:r>
        <w:rPr>
          <w:rFonts w:ascii="Kalpurush" w:cs="Kalpurush" w:eastAsia="Kalpurush" w:hAnsi="Kalpurush"/>
          <w:sz w:val="20"/>
          <w:szCs w:val="20"/>
        </w:rPr>
        <w:t xml:space="preserve">Title suit-এ বাদীকে তাহার নিজস্ব স্বত্ব প্রমাণ করিতে হয়, ইহা সত্য। কিন্তু:</w:t>
      </w:r>
    </w:p>
    <w:p>
      <w:pPr>
        <w:ind w:left="720"/>
      </w:pPr>
      <w:r>
        <w:rPr>
          <w:rFonts w:ascii="Kalpurush" w:cs="Kalpurush" w:eastAsia="Kalpurush" w:hAnsi="Kalpurush"/>
          <w:b/>
          <w:bCs/>
          <w:i/>
          <w:iCs/>
          <w:sz w:val="20"/>
          <w:szCs w:val="20"/>
        </w:rPr>
        <w:t xml:space="preserve">"Even where the plaintiff carries the ultimate burden, the court cannot treat an unproved affirmative defence as established merely because the plaintiff did not disprove every speculative component of that defence."</w:t>
      </w:r>
    </w:p>
    <w:p>
      <w:r>
        <w:rPr>
          <w:rFonts w:ascii="Kalpurush" w:cs="Kalpurush" w:eastAsia="Kalpurush" w:hAnsi="Kalpurush"/>
        </w:rPr>
        <w:t xml:space="preserve"/>
      </w:r>
    </w:p>
    <w:p>
      <w:r>
        <w:rPr>
          <w:rFonts w:ascii="Kalpurush" w:cs="Kalpurush" w:eastAsia="Kalpurush" w:hAnsi="Kalpurush"/>
          <w:sz w:val="20"/>
          <w:szCs w:val="20"/>
        </w:rPr>
        <w:t xml:space="preserve">বাদীর প্রমাণের অভাব স্বতঃস্ফূর্তভাবে বিবাদীর অপ্রমাণিত স্বত্বকে বৈধতা দিতে পারে না। </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XXII. Hotchpot Analysis — গাণিতিক অসঙ্গতি</w:t>
      </w:r>
    </w:p>
    <w:p>
      <w:r>
        <w:rPr>
          <w:rFonts w:ascii="Kalpurush" w:cs="Kalpurush" w:eastAsia="Kalpurush" w:hAnsi="Kalpurush"/>
        </w:rPr>
        <w:t xml:space="preserve"/>
      </w:r>
    </w:p>
    <w:p>
      <w:r>
        <w:rPr>
          <w:rFonts w:ascii="Kalpurush" w:cs="Kalpurush" w:eastAsia="Kalpurush" w:hAnsi="Kalpurush"/>
          <w:sz w:val="20"/>
          <w:szCs w:val="20"/>
        </w:rPr>
        <w:t xml:space="preserve">১২৫৯ দাগের মোট আয়তন ৪৭৭ শতাংশ (৪.৭৭ একর)।</w:t>
      </w:r>
    </w:p>
    <w:p>
      <w:r>
        <w:rPr>
          <w:rFonts w:ascii="Kalpurush" w:cs="Kalpurush" w:eastAsia="Kalpurush" w:hAnsi="Kalpurush"/>
          <w:sz w:val="20"/>
          <w:szCs w:val="20"/>
        </w:rPr>
        <w:t xml:space="preserve">সরকারি খাস খতিয়ানভুক্ত জমি ১৩৭ শতাংশ।</w:t>
      </w:r>
    </w:p>
    <w:p>
      <w:r>
        <w:rPr>
          <w:rFonts w:ascii="Kalpurush" w:cs="Kalpurush" w:eastAsia="Kalpurush" w:hAnsi="Kalpurush"/>
          <w:sz w:val="20"/>
          <w:szCs w:val="20"/>
        </w:rPr>
        <w:t xml:space="preserve">অবশিষ্ট = ৩৪০ শতাংশ। যাহা বাদীপক্ষের দাবির সহিত সম্পূর্ণ সামঞ্জস্যপূর্ণ।</w:t>
      </w:r>
    </w:p>
    <w:p>
      <w:r>
        <w:rPr>
          <w:rFonts w:ascii="Kalpurush" w:cs="Kalpurush" w:eastAsia="Kalpurush" w:hAnsi="Kalpurush"/>
        </w:rPr>
        <w:t xml:space="preserve"/>
      </w:r>
    </w:p>
    <w:p>
      <w:r>
        <w:rPr>
          <w:rFonts w:ascii="Kalpurush" w:cs="Kalpurush" w:eastAsia="Kalpurush" w:hAnsi="Kalpurush"/>
          <w:sz w:val="20"/>
          <w:szCs w:val="20"/>
        </w:rPr>
        <w:t xml:space="preserve">পক্ষান্তরে, বিবাদীদের দাবি (৩৪৯ শতাংশ + ১৩৭ শতাংশ = ৪৮৬ শতাংশ) দাগের মোট আয়তনের চেয়েও ৯ শতাংশ অধিক।</w:t>
      </w:r>
    </w:p>
    <w:p>
      <w:pPr>
        <w:ind w:left="720"/>
      </w:pPr>
      <w:r>
        <w:rPr>
          <w:rFonts w:ascii="Kalpurush" w:cs="Kalpurush" w:eastAsia="Kalpurush" w:hAnsi="Kalpurush"/>
          <w:b/>
          <w:bCs/>
          <w:i/>
          <w:iCs/>
          <w:sz w:val="20"/>
          <w:szCs w:val="20"/>
        </w:rPr>
        <w:t xml:space="preserve">"The respondents’ own acreage narrative exceeds the total area of the dag from which their claim is derived, thereby exposing an irreconcilable arithmetic inconsistency."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XXIII-XXIV. একই Dag ≠ একই Tenancy এবং পক্ষভুক্তির প্রশ্ন</w:t>
      </w:r>
    </w:p>
    <w:p>
      <w:r>
        <w:rPr>
          <w:rFonts w:ascii="Kalpurush" w:cs="Kalpurush" w:eastAsia="Kalpurush" w:hAnsi="Kalpurush"/>
        </w:rPr>
        <w:t xml:space="preserve"/>
      </w:r>
    </w:p>
    <w:p>
      <w:r>
        <w:rPr>
          <w:rFonts w:ascii="Kalpurush" w:cs="Kalpurush" w:eastAsia="Kalpurush" w:hAnsi="Kalpurush"/>
          <w:sz w:val="20"/>
          <w:szCs w:val="20"/>
        </w:rPr>
        <w:t xml:space="preserve">একই দাগের মধ্যে পৃথক খতিয়ান বা tenancy থাকিতে পারে। SA ২৩৮ একটি নির্দিষ্ট ব্যক্তিগত tenancy এবং সরকারি খাস জমি পৃথক খতিয়ানের। যেহেতু আপীল্যান্টগণ সরকারি জমির উপর কোনো relief চান নাই, তাই উহা partition-এর subject matter না হওয়াকে hotchpot defect বা non-joinder বলা আইনত ভ্রান্ত। *(Safaruddin, 49 DLR (AD) 15)*</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২৫. ১ নং রেসপন্ডেন্টের সোলেনামা</w:t>
      </w:r>
    </w:p>
    <w:p>
      <w:r>
        <w:rPr>
          <w:rFonts w:ascii="Kalpurush" w:cs="Kalpurush" w:eastAsia="Kalpurush" w:hAnsi="Kalpurush"/>
        </w:rPr>
        <w:t xml:space="preserve"/>
      </w:r>
    </w:p>
    <w:p>
      <w:r>
        <w:rPr>
          <w:rFonts w:ascii="Kalpurush" w:cs="Kalpurush" w:eastAsia="Kalpurush" w:hAnsi="Kalpurush"/>
          <w:sz w:val="20"/>
          <w:szCs w:val="20"/>
        </w:rPr>
        <w:t xml:space="preserve">১ নং রেসপন্ডেন্ট সোলায়মান হোসেন (আব্দুল আলীর উত্তরসূরি) আপীল্যান্টদের সহিত বাটোয়ারা সম্পন্ন করার বিষয়ে একমত। এই সোলেনামা পক্ষগণের legal position প্রমাণে গুরুত্বপূর্ণ সহায়ক।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XXVI-XXVII. বিজ্ঞ ট্রায়াল কোর্টের মৌলিক Appellate Error</w:t>
      </w:r>
    </w:p>
    <w:p>
      <w:r>
        <w:rPr>
          <w:rFonts w:ascii="Kalpurush" w:cs="Kalpurush" w:eastAsia="Kalpurush" w:hAnsi="Kalpurush"/>
        </w:rPr>
        <w:t xml:space="preserve"/>
      </w:r>
    </w:p>
    <w:p>
      <w:r>
        <w:rPr>
          <w:rFonts w:ascii="Kalpurush" w:cs="Kalpurush" w:eastAsia="Kalpurush" w:hAnsi="Kalpurush"/>
          <w:sz w:val="20"/>
          <w:szCs w:val="20"/>
        </w:rPr>
        <w:t xml:space="preserve">বিজ্ঞ ট্রায়াল কোর্ট যথেষ্ট primary evidence ব্যতিরেকেই Abdul Karim-এর root tenancy গ্রহণ করিয়াছেন। Court একটি consequential administrative entry-কে (AC Land volume) তাহার parent order অপেক্ষা অধিক গুরুত্ব দিয়াছেন। ১৯৭৫ সালের registered deed-এর six-dag description এবং current one-dag theory-এর মধ্যকার material contradiction সম্পূর্ণ অবজ্ঞা করা হইয়াছে। underlying title/record dispute নিষ্পত্তি না করিয়াই procedural technicalities-এর ভিত্তিতে মামলা খারিজ করা হইয়াছে, যাহা গুরুতর judicial error।</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XXVIII-XXIX. Appellate Court-এর Decision Tree ও Fallback</w:t>
      </w:r>
    </w:p>
    <w:p>
      <w:r>
        <w:rPr>
          <w:rFonts w:ascii="Kalpurush" w:cs="Kalpurush" w:eastAsia="Kalpurush" w:hAnsi="Kalpurush"/>
        </w:rPr>
        <w:t xml:space="preserve"/>
      </w:r>
    </w:p>
    <w:p>
      <w:r>
        <w:rPr>
          <w:rFonts w:ascii="Kalpurush" w:cs="Kalpurush" w:eastAsia="Kalpurush" w:hAnsi="Kalpurush"/>
          <w:sz w:val="20"/>
          <w:szCs w:val="20"/>
        </w:rPr>
        <w:t xml:space="preserve">১. SA 238 কি final record-of-rights? (হ্যাঁ → Section 144A presumption applies).</w:t>
      </w:r>
    </w:p>
    <w:p>
      <w:r>
        <w:rPr>
          <w:rFonts w:ascii="Kalpurush" w:cs="Kalpurush" w:eastAsia="Kalpurush" w:hAnsi="Kalpurush"/>
          <w:sz w:val="20"/>
          <w:szCs w:val="20"/>
        </w:rPr>
        <w:t xml:space="preserve">২. 1969 Misc Case-এর parent order কি প্রমাণিত? (না).</w:t>
      </w:r>
    </w:p>
    <w:p>
      <w:r>
        <w:rPr>
          <w:rFonts w:ascii="Kalpurush" w:cs="Kalpurush" w:eastAsia="Kalpurush" w:hAnsi="Kalpurush"/>
          <w:sz w:val="20"/>
          <w:szCs w:val="20"/>
        </w:rPr>
        <w:t xml:space="preserve">৩. District Settlement Record কি alleged substantive change reflect করে? (না).</w:t>
      </w:r>
    </w:p>
    <w:p>
      <w:r>
        <w:rPr>
          <w:rFonts w:ascii="Kalpurush" w:cs="Kalpurush" w:eastAsia="Kalpurush" w:hAnsi="Kalpurush"/>
          <w:sz w:val="20"/>
          <w:szCs w:val="20"/>
        </w:rPr>
        <w:t xml:space="preserve">৪. 1975 deed-এর 6-dag description কি 1-dag theory-এর সাথে reconcilable? (না).</w:t>
      </w:r>
    </w:p>
    <w:p>
      <w:r>
        <w:rPr>
          <w:rFonts w:ascii="Kalpurush" w:cs="Kalpurush" w:eastAsia="Kalpurush" w:hAnsi="Kalpurush"/>
        </w:rPr>
        <w:t xml:space="preserve"/>
      </w:r>
    </w:p>
    <w:p>
      <w:r>
        <w:rPr>
          <w:rFonts w:ascii="Kalpurush" w:cs="Kalpurush" w:eastAsia="Kalpurush" w:hAnsi="Kalpurush"/>
          <w:b/>
          <w:bCs/>
          <w:sz w:val="20"/>
          <w:szCs w:val="20"/>
        </w:rPr>
        <w:t xml:space="preserve">Strongest Fallback:</w:t>
      </w:r>
      <w:r>
        <w:rPr>
          <w:rFonts w:ascii="Kalpurush" w:cs="Kalpurush" w:eastAsia="Kalpurush" w:hAnsi="Kalpurush"/>
          <w:sz w:val="20"/>
          <w:szCs w:val="20"/>
        </w:rPr>
        <w:t xml:space="preserve"> "Even assuming Abdul Karim had some pre-SA interest, that assumption alone does not establish the respondents’ present title without proving the lawful bridge (correction order) from that interest to Sonabhanu’s present substantive interest."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XXX. সমাপনী নিবেদন</w:t>
      </w:r>
    </w:p>
    <w:p>
      <w:r>
        <w:rPr>
          <w:rFonts w:ascii="Kalpurush" w:cs="Kalpurush" w:eastAsia="Kalpurush" w:hAnsi="Kalpurush"/>
        </w:rPr>
        <w:t xml:space="preserve"/>
      </w:r>
    </w:p>
    <w:p>
      <w:r>
        <w:rPr>
          <w:rFonts w:ascii="Kalpurush" w:cs="Kalpurush" w:eastAsia="Kalpurush" w:hAnsi="Kalpurush"/>
          <w:b/>
          <w:bCs/>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আপীল্যান্টপক্ষের বক্তব্য অত্যন্ত সুস্পষ্ট:</w:t>
      </w:r>
    </w:p>
    <w:p>
      <w:pPr>
        <w:ind w:left="720"/>
      </w:pPr>
      <w:r>
        <w:rPr>
          <w:rFonts w:ascii="Kalpurush" w:cs="Kalpurush" w:eastAsia="Kalpurush" w:hAnsi="Kalpurush"/>
          <w:b/>
          <w:bCs/>
          <w:i/>
          <w:iCs/>
          <w:sz w:val="20"/>
          <w:szCs w:val="20"/>
        </w:rPr>
        <w:t xml:space="preserve">"একটি final SA record-এর বিরুদ্ধে যখন একটি specific substantive correction theory দাঁড় করানো হয়, তখন সেই particular correction-এর legal source, contents, authority, implementation এবং evidentiary manifestation নির্ভরযোগ্য প্রমাণে প্রতিষ্ঠিত হওয়া আইনি বাধ্যবাধকতা।"</w:t>
      </w:r>
    </w:p>
    <w:p>
      <w:r>
        <w:rPr>
          <w:rFonts w:ascii="Kalpurush" w:cs="Kalpurush" w:eastAsia="Kalpurush" w:hAnsi="Kalpurush"/>
        </w:rPr>
        <w:t xml:space="preserve"/>
      </w:r>
    </w:p>
    <w:p>
      <w:r>
        <w:rPr>
          <w:rFonts w:ascii="Kalpurush" w:cs="Kalpurush" w:eastAsia="Kalpurush" w:hAnsi="Kalpurush"/>
          <w:sz w:val="20"/>
          <w:szCs w:val="20"/>
        </w:rPr>
        <w:t xml:space="preserve">বিবাদীপক্ষ SA 238 ভুল প্রমাণের এই statutory burden পালনে সম্পূর্ণরূপে ব্যর্থ হইয়াছে। </w:t>
      </w:r>
    </w:p>
    <w:p>
      <w:pPr>
        <w:ind w:left="720"/>
      </w:pPr>
      <w:r>
        <w:rPr>
          <w:rFonts w:ascii="Kalpurush" w:cs="Kalpurush" w:eastAsia="Kalpurush" w:hAnsi="Kalpurush"/>
          <w:b/>
          <w:bCs/>
          <w:i/>
          <w:iCs/>
          <w:sz w:val="20"/>
          <w:szCs w:val="20"/>
        </w:rPr>
        <w:t xml:space="preserve">"The question is not whether a correction was theoretically possible. The question is whether this particular correction, on this particular record, has been legally proved."</w:t>
      </w:r>
    </w:p>
    <w:p>
      <w:r>
        <w:rPr>
          <w:rFonts w:ascii="Kalpurush" w:cs="Kalpurush" w:eastAsia="Kalpurush" w:hAnsi="Kalpurush"/>
          <w:sz w:val="20"/>
          <w:szCs w:val="20"/>
        </w:rPr>
        <w:t xml:space="preserve">আমাদের বিনীত নিবেদন—তাহা প্রমাণিত হয় নাই।</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প্রার্থিত প্রতিকার</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সখিপুর সিভিল জজ আদালতের ০৫/০৪/২০২৬ তারিখের Judgment এবং ০৯/০৪/২০২৬ তারিখের Decree বাতিল ও রহিত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রেকর্ডে প্রমাণিত SA ২৩৮ নং খতিয়ানের ভিত্তিতে আপীল্যান্টদের প্রাপ্য অংশ নির্ধারণপূর্বক এবং ১ নং রেসপন্ডেন্টের lawful consent/solennama-এর প্রভাব বিবেচনা করিয়া বাটোয়ারার preliminary decree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Government-এর পৃথক khatian/interest-এর উপর কোনো relief না দিয়া কেবল SA ২৩৮-ভুক্ত ব্যক্তিগত সম্পত্তির অংশ নির্ধারণ ও partition-এর জন্য প্রয়োজনীয় ব্যবস্থা গ্রহণ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 শুনানির জন্য “Nine-Step Locked Sequence”</w:t>
      </w:r>
    </w:p>
    <w:p>
      <w:r>
        <w:rPr>
          <w:rFonts w:ascii="Kalpurush" w:cs="Kalpurush" w:eastAsia="Kalpurush" w:hAnsi="Kalpurush"/>
        </w:rPr>
        <w:t xml:space="preserve"/>
      </w:r>
    </w:p>
    <w:p>
      <w:r>
        <w:rPr>
          <w:rFonts w:ascii="Kalpurush" w:cs="Kalpurush" w:eastAsia="Kalpurush" w:hAnsi="Kalpurush"/>
          <w:sz w:val="20"/>
          <w:szCs w:val="20"/>
        </w:rPr>
        <w:t xml:space="preserve">উকিলের মৌখিক argument বারবার নিম্নোক্ত ক্রমে ফিরিয়া আসিবে:</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SA 238 → Section 144A presumption</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Respondents allege later correction</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Where is the parent order?</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What exactly did that order decide?</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What lawful process implemented it?</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Where is the authoritative documentary manifestation of the alleged substantive change?</w:t>
      </w:r>
    </w:p>
    <w:p>
      <w:r>
        <w:rPr>
          <w:rFonts w:ascii="Kalpurush" w:cs="Kalpurush" w:eastAsia="Kalpurush" w:hAnsi="Kalpurush"/>
          <w:sz w:val="20"/>
          <w:szCs w:val="20"/>
        </w:rPr>
        <w:t xml:space="preserve">৭. </w:t>
      </w:r>
      <w:r>
        <w:rPr>
          <w:rFonts w:ascii="Kalpurush" w:cs="Kalpurush" w:eastAsia="Kalpurush" w:hAnsi="Kalpurush"/>
          <w:b/>
          <w:bCs/>
          <w:sz w:val="20"/>
          <w:szCs w:val="20"/>
        </w:rPr>
        <w:t xml:space="preserve">Why does the present District Record Room still record Abdul Ali?</w:t>
      </w:r>
    </w:p>
    <w:p>
      <w:r>
        <w:rPr>
          <w:rFonts w:ascii="Kalpurush" w:cs="Kalpurush" w:eastAsia="Kalpurush" w:hAnsi="Kalpurush"/>
          <w:sz w:val="20"/>
          <w:szCs w:val="20"/>
        </w:rPr>
        <w:t xml:space="preserve">৮. </w:t>
      </w:r>
      <w:r>
        <w:rPr>
          <w:rFonts w:ascii="Kalpurush" w:cs="Kalpurush" w:eastAsia="Kalpurush" w:hAnsi="Kalpurush"/>
          <w:b/>
          <w:bCs/>
          <w:sz w:val="20"/>
          <w:szCs w:val="20"/>
        </w:rPr>
        <w:t xml:space="preserve">Why does the respondents’ own 1975 deed describe six dags if their theory is one dag?</w:t>
      </w:r>
    </w:p>
    <w:p>
      <w:r>
        <w:rPr>
          <w:rFonts w:ascii="Kalpurush" w:cs="Kalpurush" w:eastAsia="Kalpurush" w:hAnsi="Kalpurush"/>
          <w:sz w:val="20"/>
          <w:szCs w:val="20"/>
        </w:rPr>
        <w:t xml:space="preserve">৯. </w:t>
      </w:r>
      <w:r>
        <w:rPr>
          <w:rFonts w:ascii="Kalpurush" w:cs="Kalpurush" w:eastAsia="Kalpurush" w:hAnsi="Kalpurush"/>
          <w:b/>
          <w:bCs/>
          <w:sz w:val="20"/>
          <w:szCs w:val="20"/>
        </w:rPr>
        <w:t xml:space="preserve">Even assuming Abdul Karim had some pre-SA interest, where is the lawful bridge from that interest to Sonabhanu’s present substantive interest?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Filing-এর আগে যে বিষয়গুলি Counsel-কে মিলাইয়া লইতে হইবে</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Statutory Scope:</w:t>
      </w:r>
      <w:r>
        <w:rPr>
          <w:rFonts w:ascii="Kalpurush" w:cs="Kalpurush" w:eastAsia="Kalpurush" w:hAnsi="Kalpurush"/>
          <w:sz w:val="20"/>
          <w:szCs w:val="20"/>
        </w:rPr>
        <w:t xml:space="preserve"> State Acquisition and Tenancy Act-এর Section 143 (clerical mistake ও record updating) এবং Section 143C (notice/hearing procedure)-এর আলোকে "Revenue Officer-এর correction power নাই" এমন absolute বাক্য পরিহার করিয়া, অত্র ব্রিফে "specific correction-এর প্রমাণ নাই" মর্মে যে যুক্তি সাজানো হইয়াছে, তাহা বজায় রাখিবেন। Section 145A ও 145F (Land Survey Tribunal)-এর এখতিয়ারের সহিত present civil suit-এর relation মামলার আরজি অনুযায়ী মূল্যায়ন করিবেন।</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Authorities:</w:t>
      </w:r>
      <w:r>
        <w:rPr>
          <w:rFonts w:ascii="Kalpurush" w:cs="Kalpurush" w:eastAsia="Kalpurush" w:hAnsi="Kalpurush"/>
          <w:sz w:val="20"/>
          <w:szCs w:val="20"/>
        </w:rPr>
        <w:t xml:space="preserve"> 27 BLD 229, 45 DLR (AD) 124, 53 DLR 19, 50 DLR 186, 56 DLR (AD) 53—এই নজিরগুলির exact ratio এবং factual context অরিজিনাল ল' রিপোর্ট হইতে verify করিয়া প্রয়োজনে হুবহু উদ্ধৃতি আদালতে দাখিল করিবেন।</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অত্র ড্রাফটে Mrigangka Mohan Dhali-র মামলাটি mutation বা volume note-এর authority হিসাবে ব্যবহার করা হয় নাই, কারণ সুপ্রিম কোর্টের বুলেটিন অনুযায়ী এটি মূলত inheritance/stridhan বিষয়ক। শুনানিকালে এই বিষয়ে সতর্ক থাকিবেন।</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2026-08-15T11:44:53.746Z</dcterms:created>
  <dcterms:modified xsi:type="dcterms:W3CDTF">2026-08-15T11:44:53.750Z</dcterms:modified>
</cp:coreProperties>
</file>

<file path=docProps/custom.xml><?xml version="1.0" encoding="utf-8"?>
<Properties xmlns="http://schemas.openxmlformats.org/officeDocument/2006/custom-properties" xmlns:vt="http://schemas.openxmlformats.org/officeDocument/2006/docPropsVTypes"/>
</file>