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77 — Court-Safe, Record-Strict Definitive Appellate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মহামান্য আদালতের উদ্দেশ্যে প্রারম্ভিক মৌখিক বক্তব্য ও রোডম্যাপ (Opening Address &amp; 5-Minute Roadmap)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*সখিপুর সিভিল জজ আদালতের বাটোয়ারা মামলা নং ৬৬/২০১৬-এর ০৫-০৪-২০২৬ তারিখের খারিজ রায় ও ০৯-০৪-২০২৬ তারিখের ডিক্রির বিরুদ্ধে আপীল্যান্ট বাদীপক্ষের এই আপীল।*</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নহে। বর্তমান বিরোধের মূল প্রশ্ন হলো — রাষ্ট্রের চূড়ান্তভাবে প্রকাশিত SA ২৩৮ নং খতিয়ান, যেখানে আব্দুল আলী ১৬ আনা একক রায়ত হিসেবে রেকর্ডভুক্ত, সেটি পরবর্তীতে কোন বৈধ প্রক্রিয়া ও কোন নির্ভরযোগ্য প্রমাণের মাধ্যমে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*আমরা বলছি না যে একটি চূড়ান্ত প্রকাশিত SA Record কখনো ভুল হতে পারে না। আমরা বলছি — যে পক্ষ ইহাকে ভুল বা পরবর্তীতে সংশোধিত বলিতেছে, সেই পক্ষকে সেই দাবি নির্ভরযোগ্য প্রমাণ দ্বারা প্রতিষ্ঠা করিতে হইবে।*</w:t>
      </w:r>
    </w:p>
    <w:p>
      <w:r>
        <w:rPr>
          <w:rFonts w:ascii="Kalpurush" w:cs="Kalpurush" w:eastAsia="Kalpurush" w:hAnsi="Kalpurush"/>
        </w:rPr>
        <w:t xml:space="preserve"/>
      </w:r>
    </w:p>
    <w:p>
      <w:r>
        <w:rPr>
          <w:rFonts w:ascii="Kalpurush" w:cs="Kalpurush" w:eastAsia="Kalpurush" w:hAnsi="Kalpurush"/>
          <w:sz w:val="20"/>
          <w:szCs w:val="20"/>
        </w:rPr>
        <w:t xml:space="preserve">*এই মামলায় বিবাদীপক্ষের কথিত correction-এর আইনগত উৎস হিসেবে উপস্থাপিত ১১৮১/১৯৬৯ Misc Case-এর কোনো রায়, আদেশ, সইমোহরি কপি বা মূল নথি আদালতে দাখিল করা হয় নাই। সেই কথিত correction-এর ফল হিসেবে AC Land ভলিউমে একটি ভিন্ন কালির entry দেখানো হয়েছে। কিন্তু সেই entry-এর source, provenance এবং legal authority-ও প্রতিষ্ঠিত হয় নাই।*</w:t>
      </w:r>
    </w:p>
    <w:p>
      <w:r>
        <w:rPr>
          <w:rFonts w:ascii="Kalpurush" w:cs="Kalpurush" w:eastAsia="Kalpurush" w:hAnsi="Kalpurush"/>
        </w:rPr>
        <w:t xml:space="preserve"/>
      </w:r>
    </w:p>
    <w:p>
      <w:r>
        <w:rPr>
          <w:rFonts w:ascii="Kalpurush" w:cs="Kalpurush" w:eastAsia="Kalpurush" w:hAnsi="Kalpurush"/>
          <w:sz w:val="20"/>
          <w:szCs w:val="20"/>
        </w:rPr>
        <w:t xml:space="preserve">*উপরন্তু, বিবাদীদের নিজেদের ৩৫৯৬/১৯৭৫ নং registered deed-এ SA ২৩৮-এর অধীনে ছয়টি দাগের বর্ণনা রয়েছে, যেখানে বর্তমান বিরোধে তাঁরা এক-দাগের correction theory-র উপর নির্ভর করছেন।*</w:t>
      </w:r>
    </w:p>
    <w:p>
      <w:r>
        <w:rPr>
          <w:rFonts w:ascii="Kalpurush" w:cs="Kalpurush" w:eastAsia="Kalpurush" w:hAnsi="Kalpurush"/>
        </w:rPr>
        <w:t xml:space="preserve"/>
      </w:r>
    </w:p>
    <w:p>
      <w:r>
        <w:rPr>
          <w:rFonts w:ascii="Kalpurush" w:cs="Kalpurush" w:eastAsia="Kalpurush" w:hAnsi="Kalpurush"/>
          <w:sz w:val="20"/>
          <w:szCs w:val="20"/>
        </w:rPr>
        <w:t xml:space="preserve">*অতএব এই আপীলের প্রকৃত প্রশ্ন 'SA ২৩৮ কি ভুল?' নয়।*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'প্রকৃত প্রশ্ন হলো — যিনি SA ২৩৮ ভুল বলছেন, তিনি সেই ভুল বা correction-এর আইনগত source কোথায় প্রমাণ করেছেন?'</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প্রয়োজনীয় প্রমাণ সেখানে সম্পূর্ণ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শুনানিতে ৫ মিনিটের রোডম্যাপ (The 5-Minute Appellate Roadmap)</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State Recognition):</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CS ২ নং খতিয়ানে নালিশী জমি কোনো ব্যক্তিগত রায়তি নামে রেকর্ডভুক্ত ছিল না; জমিটি নবাব এস্টেটের খাস হিসেবে প্রতিফলিত। রাষ্ট্র ১৯৫২ সালে জমিদারী অধিগ্রহণ করিয়া নিজস্ব জরিপ কার্যক্রমে আব্দুল আলীকে একক রায়ত হিসেবে রেকর্ড করিয়াছে এবং জেলা প্রশাসকের সেন্ট্রাল রেকর্ড রুমে আজও সেই সরকারি মূল রেকর্ড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Correct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volume entry দেখাইয়াছে — কিন্তু যে আদেশের ভিত্তিতে entry-টি allegedly তৈরি, সেই আদেশ কোথায়? কথিত ১১৮১/১৯৬৯ Misc Case-এর existence, contents, jurisdiction, legal effect এবং implementation (Register of Alterations) — এই পাঁচটির কোনো প্রাতিষ্ঠানিক প্রমাণ রেকর্ডে নাই। বিবাদীরা মূল রেকর্ডও তলব করান নাই। মূল আদেশ (Parent Order) অপ্রমাণিত থাকিলে সহকারী কমিশনার (ভূমি) অফিসের একটি ভলিউম নোট নিজে থেকে স্বত্ব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If the alleged 1969 correction had reduced the SA 238 holding to one dag, why does the respondents' own registered deed of 1975 describe six dags under the same khatian? এই অখণ্ডনীয় দালিলিক বৈপরীত্য বিবাদীদের কথিত ১-দাগের সংশোধন তত্ত্বের গ্রহণযোগ্যতাকে চিরতরে দুর্বল করিয়া দেয়।*</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বিবাদীপক্ষ প্রথমে আব্দুল করিমের Root Tenancy প্রমাণ করিবে</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title theory-এর প্রথম ধাপ:*</w:t>
      </w:r>
    </w:p>
    <w:p>
      <w:r>
        <w:rPr>
          <w:rFonts w:ascii="Kalpurush" w:cs="Kalpurush" w:eastAsia="Kalpurush" w:hAnsi="Kalpurush"/>
          <w:sz w:val="20"/>
          <w:szCs w:val="20"/>
        </w:rPr>
        <w:t xml:space="preserve">$$\text{Abdul Karim} \longrightarrow \text{Raiyat} \longrightarrow \text{Succession} \longrightarrow \text{Sonavanu} \longrightarrow \text{Present claim}$$</w:t>
      </w:r>
    </w:p>
    <w:p>
      <w:r>
        <w:rPr>
          <w:rFonts w:ascii="Kalpurush" w:cs="Kalpurush" w:eastAsia="Kalpurush" w:hAnsi="Kalpurush"/>
        </w:rPr>
        <w:t xml:space="preserve"/>
      </w:r>
    </w:p>
    <w:p>
      <w:r>
        <w:rPr>
          <w:rFonts w:ascii="Kalpurush" w:cs="Kalpurush" w:eastAsia="Kalpurush" w:hAnsi="Kalpurush"/>
          <w:sz w:val="20"/>
          <w:szCs w:val="20"/>
        </w:rPr>
        <w:t xml:space="preserve">*কিন্তু এই chain-এর প্রথম link-টিই দালিলিকভাবে প্রমাণিত নহে।*</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CS Record-এর অবস্থান</w:t>
      </w:r>
    </w:p>
    <w:p>
      <w:r>
        <w:rPr>
          <w:rFonts w:ascii="Kalpurush" w:cs="Kalpurush" w:eastAsia="Kalpurush" w:hAnsi="Kalpurush"/>
          <w:sz w:val="20"/>
          <w:szCs w:val="20"/>
        </w:rPr>
        <w:t xml:space="preserve">*নালিশী সম্পত্তির পূর্ববর্তী CS ২ নং খতিয়ানে নালিশী জমি কোনো ব্যক্তিগত রায়তি নামে রেকর্ডভুক্ত ছিল না; জমিটি ঢাকা নবাব এস্টেটের খাস হিসেবে প্রতিফলিত। ফলে বিবাদীপক্ষ যদি দাবি করেন যে পরবর্তীকালে ১৯৩৪ সালের পত্তনের মাধ্যমে আব্দুল করিম একটি স্বতন্ত্র ও উত্তরাধিকারযোগ্য raiyati interest অর্জন করেছিলেন, সেই পরিবর্তনের documentary foundation বিবাদীপক্ষকেই দেখাইতে হইবে।*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কথিত ১৯৩৪ সালের settlement-এর foundational document অনুপস্থিত</w:t>
      </w:r>
    </w:p>
    <w:p>
      <w:r>
        <w:rPr>
          <w:rFonts w:ascii="Kalpurush" w:cs="Kalpurush" w:eastAsia="Kalpurush" w:hAnsi="Kalpurush"/>
          <w:sz w:val="20"/>
          <w:szCs w:val="20"/>
        </w:rPr>
        <w:t xml:space="preserve">*বিবাদীপক্ষের case যদি সত্যিই ১৯৩৪ সালের settlement-এর উপর দাঁড়ায়, তাহলে স্বাভাবিক documentary foundation হতে পারত — Patta, Kabuliyat, Sanctioned settlement document, অথবা সংশ্লিষ্ট কর্তৃপক্ষের অনুমোদিত কোনো primary record। কিন্তু এমন foundational document দাখিল না করেই শুধু পরবর্তী উত্তরাধিকার chain ধরে নেওয়া যায় না।*</w:t>
      </w:r>
    </w:p>
    <w:p>
      <w:r>
        <w:rPr>
          <w:rFonts w:ascii="Kalpurush" w:cs="Kalpurush" w:eastAsia="Kalpurush" w:hAnsi="Kalpurush"/>
        </w:rPr>
        <w:t xml:space="preserve"/>
      </w:r>
    </w:p>
    <w:p>
      <w:r>
        <w:rPr>
          <w:rFonts w:ascii="Kalpurush" w:cs="Kalpurush" w:eastAsia="Kalpurush" w:hAnsi="Kalpurush"/>
          <w:sz w:val="20"/>
          <w:szCs w:val="20"/>
        </w:rPr>
        <w:t xml:space="preserve">*এখানে আমাদের বক্তব্য এই নয় যে কোনো pre-SA right কখনোই থাকতে পারে না। বরং আমাদের বক্তব্য সুনির্দিষ্ট:*</w:t>
      </w:r>
    </w:p>
    <w:p>
      <w:pPr>
        <w:ind w:left="720"/>
      </w:pPr>
      <w:r>
        <w:rPr>
          <w:rFonts w:ascii="Kalpurush" w:cs="Kalpurush" w:eastAsia="Kalpurush" w:hAnsi="Kalpurush"/>
          <w:b/>
          <w:bCs/>
          <w:i/>
          <w:iCs/>
          <w:sz w:val="20"/>
          <w:szCs w:val="20"/>
        </w:rPr>
        <w:t xml:space="preserve">'বিবাদীরা যে নির্দিষ্ট পত্তনের উপর বর্তমান title claim দাঁড় করিয়েছে, তার বৈধ documentary foundation প্রমাণ করেনি; এবং State Acquisition-এর পরে সেই unregistered claim SA Record-এর বিরুদ্ধে কীভাবে surviving title হিসেবে কার্যকর রইল, তারও কোনো competent evidence দেয়নি।'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১.৩ প্রাসঙ্গিক আইনি নজিরের উদ্ধৃতি (Relevant Authorities):</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*"Settlement or rent receipts of Court of Wards / Dhaka Nawab Estate without the written approval of the Chief Manager are void ab initio and confer no title."*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*"Salami receipts issued without Chief Manager's approval cannot create tenancy rights over Court of Wards lands."*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*"Irrespective of whatever title or right was acquired by virtue of the unregistered patta, it had extinguished as a result of State Acquisition under Section 86 of the SAT Act."*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*"Tenancy status is determined by zamindari pattan or state recognition, not by personal law of inheritance."*</w:t>
      </w:r>
    </w:p>
    <w:p>
      <w:r>
        <w:rPr>
          <w:rFonts w:ascii="Kalpurush" w:cs="Kalpurush" w:eastAsia="Kalpurush" w:hAnsi="Kalpurush"/>
        </w:rPr>
        <w:t xml:space="preserve"/>
      </w:r>
    </w:p>
    <w:p>
      <w:r>
        <w:rPr>
          <w:rFonts w:ascii="Kalpurush" w:cs="Kalpurush" w:eastAsia="Kalpurush" w:hAnsi="Kalpurush"/>
          <w:sz w:val="20"/>
          <w:szCs w:val="20"/>
        </w:rPr>
        <w:t xml:space="preserve">*অতএব, বিবাদীপক্ষের root tenancy documentary foundation ছাড়া পরবর্তী inheritance theory-কে স্বাধীন title হিসেবে গ্রহণ করা আইনগতভাবে নিরাপদ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হলো বর্তমান বিতর্কের Starting Point: সংবিধিবদ্ধ অনুমানের সঠিক রূপরেখা</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একটি অত্যন্ত গুরুত্বপূর্ণ distinction রাখা দরকার।*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 — বর্তমান record অনুযায়ী রাষ্ট্রের final Record of Rights-এ আব্দুল আলীকে ১৬ আনা একক রায়ত হিসেবে record করা হয়েছে। এই final record-এর legal presumption আছে এবং সেটিকে challenge করলে challenger-কে reliable evidence দিতে হবে।*</w:t>
      </w:r>
    </w:p>
    <w:p>
      <w:r>
        <w:rPr>
          <w:rFonts w:ascii="Kalpurush" w:cs="Kalpurush" w:eastAsia="Kalpurush" w:hAnsi="Kalpurush"/>
        </w:rPr>
        <w:t xml:space="preserve"/>
      </w:r>
    </w:p>
    <w:p>
      <w:r>
        <w:rPr>
          <w:rFonts w:ascii="Kalpurush" w:cs="Kalpurush" w:eastAsia="Kalpurush" w:hAnsi="Kalpurush"/>
          <w:sz w:val="20"/>
          <w:szCs w:val="20"/>
        </w:rPr>
        <w:t xml:space="preserve">*এই approach-ই আইনগতভাবে সবচেয়ে নিরাপদ ও সঠিক।*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সংবিধিবদ্ধ অনুমানের সুনির্দিষ্ট আইনি নজির:</w:t>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*"Records of rights prepared under the State Acquisition and Tenancy Act carry a statutory presumption of correctness which must be rebutted by positive and reliable evidence by the party asserting otherwise."*</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 সুনির্দিষ্ট ও পরিমিত আইনি অবস্থান হইল:*</w:t>
      </w:r>
    </w:p>
    <w:p>
      <w:pPr>
        <w:ind w:left="720"/>
      </w:pPr>
      <w:r>
        <w:rPr>
          <w:rFonts w:ascii="Kalpurush" w:cs="Kalpurush" w:eastAsia="Kalpurush" w:hAnsi="Kalpurush"/>
          <w:b/>
          <w:bCs/>
          <w:i/>
          <w:iCs/>
          <w:sz w:val="20"/>
          <w:szCs w:val="20"/>
        </w:rPr>
        <w:t xml:space="preserve">'SA 238 is presumptively correct; it is rebuttable, but it must be rebutted by reliable evidence — not merely by assertion.'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১৯৫৭ সালের Deed No. 2398 — সমসাময়িক দালিলিক সমর্থন (Contemporaneous Corroboration)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একটি গুরুত্বপূর্ণ chronology পরিষ্কার রাখা আবশ্যক।*</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দলিলটি (প্রদর্শনী-২) SA Record প্রকাশের পরের দলিল নহে; ইহা SA জরিপকালীন সময়ের (১৯৫৬–১৯৬২) সমসাময়িক দলিল। উক্ত দলিলের তফসিলে বর্ণিত </w:t>
      </w:r>
      <w:r>
        <w:rPr>
          <w:rFonts w:ascii="Kalpurush" w:cs="Kalpurush" w:eastAsia="Kalpurush" w:hAnsi="Kalpurush"/>
          <w:b/>
          <w:bCs/>
          <w:sz w:val="20"/>
          <w:szCs w:val="20"/>
        </w:rPr>
        <w:t xml:space="preserve">৩ নং দাগের জমি SA ২৩৮ নং খতিয়ানের অন্তর্ভুক্ত জমিরই অংশ</w:t>
      </w:r>
      <w:r>
        <w:rPr>
          <w:rFonts w:ascii="Kalpurush" w:cs="Kalpurush" w:eastAsia="Kalpurush" w:hAnsi="Kalpurush"/>
          <w:sz w:val="20"/>
          <w:szCs w:val="20"/>
        </w:rPr>
        <w:t xml:space="preserve">। উক্ত জমির জন্য আলাদা কোনো SA খতিয়ান/পর্চা প্রদর্শিত হয় নাই।*</w:t>
      </w:r>
    </w:p>
    <w:p>
      <w:r>
        <w:rPr>
          <w:rFonts w:ascii="Kalpurush" w:cs="Kalpurush" w:eastAsia="Kalpurush" w:hAnsi="Kalpurush"/>
        </w:rPr>
        <w:t xml:space="preserve"/>
      </w:r>
    </w:p>
    <w:p>
      <w:r>
        <w:rPr>
          <w:rFonts w:ascii="Kalpurush" w:cs="Kalpurush" w:eastAsia="Kalpurush" w:hAnsi="Kalpurush"/>
          <w:sz w:val="20"/>
          <w:szCs w:val="20"/>
        </w:rPr>
        <w:t xml:space="preserve">*অতএব ১৯৫৭ সালের দলিলটিকে আমরা SA খতিয়ানের পূর্ববর্তী কোনো স্বতন্ত্র title-judgment হিসেবে ব্যবহার করিতেছি না। বরং ইহা একটি </w:t>
      </w:r>
      <w:r>
        <w:rPr>
          <w:rFonts w:ascii="Kalpurush" w:cs="Kalpurush" w:eastAsia="Kalpurush" w:hAnsi="Kalpurush"/>
          <w:b/>
          <w:bCs/>
          <w:sz w:val="20"/>
          <w:szCs w:val="20"/>
        </w:rPr>
        <w:t xml:space="preserve">contemporaneous documentary circumstance</w:t>
      </w:r>
      <w:r>
        <w:rPr>
          <w:rFonts w:ascii="Kalpurush" w:cs="Kalpurush" w:eastAsia="Kalpurush" w:hAnsi="Kalpurush"/>
          <w:sz w:val="20"/>
          <w:szCs w:val="20"/>
        </w:rPr>
        <w:t xml:space="preserve">, যাহা দেখায় যে SA জরিপ চলাকালীন আব্দুল আলীর নামে উক্ত ভূমির সঙ্গে একটি প্রকাশ্য, নিবন্ধিত ও নির্দিষ্ট সম্পত্তিগত সম্পর্ক বিদ্যমান ছিল এবং পরবর্তীকালে রাষ্ট্রের SA Record-এ সেই জমি SA ২৩৮-এর অন্তর্ভুক্ত হইয়াছে।*</w:t>
      </w:r>
    </w:p>
    <w:p>
      <w:r>
        <w:rPr>
          <w:rFonts w:ascii="Kalpurush" w:cs="Kalpurush" w:eastAsia="Kalpurush" w:hAnsi="Kalpurush"/>
        </w:rPr>
        <w:t xml:space="preserve"/>
      </w:r>
    </w:p>
    <w:p>
      <w:r>
        <w:rPr>
          <w:rFonts w:ascii="Kalpurush" w:cs="Kalpurush" w:eastAsia="Kalpurush" w:hAnsi="Kalpurush"/>
          <w:sz w:val="20"/>
          <w:szCs w:val="20"/>
        </w:rPr>
        <w:t xml:space="preserve">*এখানে মূল বক্তব্য অত্যন্ত সুনির্দিষ্ট:*</w:t>
      </w:r>
    </w:p>
    <w:p>
      <w:pPr>
        <w:ind w:left="720"/>
      </w:pPr>
      <w:r>
        <w:rPr>
          <w:rFonts w:ascii="Kalpurush" w:cs="Kalpurush" w:eastAsia="Kalpurush" w:hAnsi="Kalpurush"/>
          <w:b/>
          <w:bCs/>
          <w:i/>
          <w:iCs/>
          <w:sz w:val="20"/>
          <w:szCs w:val="20"/>
        </w:rPr>
        <w:t xml:space="preserve">'দলিলটি SA ২৩৮ সৃষ্টি করে নাই; বরং পরবর্তীকালে রাষ্ট্র যে জমিকে SA ২৩৮-এ আব্দুল আলীর ১৬ আনা রায়তি holding-এর অংশ হিসেবে রেকর্ড করিয়াছে, সেই একই জমির সঙ্গে আব্দুল আলীর সমসাময়িক নিবন্ধিত সম্পর্কটি দলিলটি corroborate করে।'</w:t>
      </w:r>
    </w:p>
    <w:p>
      <w:r>
        <w:rPr>
          <w:rFonts w:ascii="Kalpurush" w:cs="Kalpurush" w:eastAsia="Kalpurush" w:hAnsi="Kalpurush"/>
        </w:rPr>
        <w:t xml:space="preserve"/>
      </w:r>
    </w:p>
    <w:p>
      <w:r>
        <w:rPr>
          <w:rFonts w:ascii="Kalpurush" w:cs="Kalpurush" w:eastAsia="Kalpurush" w:hAnsi="Kalpurush"/>
          <w:sz w:val="20"/>
          <w:szCs w:val="20"/>
        </w:rPr>
        <w:t xml:space="preserve">*এতে chronology-র কোনো ভুল হয় না এবং opponent-কে বলার সুযোগ থাকে না যে 'SA record was created first, deed came later' — যা এখানে বাস্তবিকভাবেই অসত্য।"*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বিচারিক প্রশ্নের উত্তর: "আপনাদের নিজের পত্তন কোথায়?"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*বিজ্ঞ বিচারিক আদালত যদি প্রশ্ন করেন — 'আপনারা যদি ১৯৩৪ সালের পত্তন প্রমাণ না করেন, তবে আব্দুল আলীর স্বত্বের উৎস কী?'*</w:t>
      </w:r>
    </w:p>
    <w:p>
      <w:r>
        <w:rPr>
          <w:rFonts w:ascii="Kalpurush" w:cs="Kalpurush" w:eastAsia="Kalpurush" w:hAnsi="Kalpurush"/>
        </w:rPr>
        <w:t xml:space="preserve"/>
      </w:r>
    </w:p>
    <w:p>
      <w:r>
        <w:rPr>
          <w:rFonts w:ascii="Kalpurush" w:cs="Kalpurush" w:eastAsia="Kalpurush" w:hAnsi="Kalpurush"/>
          <w:sz w:val="20"/>
          <w:szCs w:val="20"/>
        </w:rPr>
        <w:t xml:space="preserve">*আমাদের বিনীত উত্তর অত্যন্ত পরিষ্কার ও সুদৃঢ়:*</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আমাদের দাবি আব্দুল করিমের কথিত পত্তন থেকে derivative নয়। আমাদের প্রমাণের কেন্দ্রবিন্দু হলো রাষ্ট্রের Estate Acquisition-পরবর্তী State Recognition এবং finally published SA Record। আমরা কোনো অপ্রমাণিত pre-SA pattan-এর উত্তরাধিকার দাবি করছি না। রাষ্ট্র তার নিজস্ব জরিপ কার্যক্রমে কাকে raiyat হিসেবে record করেছে — এই রাষ্ট্রীয় স্বীকৃতিই বর্তমান record-based claim-এর starting point।'</w:t>
      </w:r>
    </w:p>
    <w:p>
      <w:r>
        <w:rPr>
          <w:rFonts w:ascii="Kalpurush" w:cs="Kalpurush" w:eastAsia="Kalpurush" w:hAnsi="Kalpurush"/>
        </w:rPr>
        <w:t xml:space="preserve"/>
      </w:r>
    </w:p>
    <w:p>
      <w:r>
        <w:rPr>
          <w:rFonts w:ascii="Kalpurush" w:cs="Kalpurush" w:eastAsia="Kalpurush" w:hAnsi="Kalpurush"/>
          <w:sz w:val="20"/>
          <w:szCs w:val="20"/>
        </w:rPr>
        <w:t xml:space="preserve">*এবং ইহার দ্বিতীয় অবিচ্ছেদ্য অংশ:*</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'যদি বিবাদীপক্ষ বলেন যে রাষ্ট্রের সেই State Recognition ভুল ছিল এবং প্রকৃতপক্ষে আব্দুল করিমই পূর্বতন রায়ত ছিলেন, তবে প্রথমেই তাঁদের সেই competing root tenancy প্রমাণ করতে হবে এবং একই সঙ্গে দেখাতে হবে কোন বৈধ প্রমাণ ও কোন lawful process-এর মাধ্যমে SA ২৩৮-এর আব্দুল আলীর entry ভুল বা পরবর্তীতে displaced হয়েছিল।'</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এই মামলায় আপীল্যান্টদের উপর এমন কোনো পূর্বতন পত্তন প্রমাণের বোঝা চাপানো যায় না, যাহার ভিত্তিতে বর্তমান দাবি প্রতিষ্ঠা করা হচ্ছে না। পক্ষান্তরে বিবাদীপক্ষই দাবি করিতেছে যে রাষ্ট্রের সেই record ভুল এবং প্রকৃতপক্ষে আব্দুল করিম পূর্বতন রায়ত ছিলেন। সুতরাং তাঁদের প্রতিরক্ষার ভিত্তিমূল — আব্দুল করিমের বৈধ root tenancy — প্রথমে তাঁদেরই নির্ভরযোগ্য প্রমাণে প্রতিষ্ঠিত করিতে হইবে।*</w:t>
      </w:r>
    </w:p>
    <w:p>
      <w:r>
        <w:rPr>
          <w:rFonts w:ascii="Kalpurush" w:cs="Kalpurush" w:eastAsia="Kalpurush" w:hAnsi="Kalpurush"/>
        </w:rPr>
        <w:t xml:space="preserve"/>
      </w:r>
    </w:p>
    <w:p>
      <w:r>
        <w:rPr>
          <w:rFonts w:ascii="Kalpurush" w:cs="Kalpurush" w:eastAsia="Kalpurush" w:hAnsi="Kalpurush"/>
          <w:sz w:val="20"/>
          <w:szCs w:val="20"/>
        </w:rPr>
        <w:t xml:space="preserve">*আর যদি আদালত মনে করেন যে pre-SA root title উভয় পক্ষকেই trace করতে হবে, তাহলেও একটি মৌলিক পার্থক্য থাকিবে:*</w:t>
      </w:r>
    </w:p>
    <w:p>
      <w:pPr>
        <w:ind w:left="720"/>
      </w:pPr>
      <w:r>
        <w:rPr>
          <w:rFonts w:ascii="Kalpurush" w:cs="Kalpurush" w:eastAsia="Kalpurush" w:hAnsi="Kalpurush"/>
          <w:b/>
          <w:bCs/>
          <w:i/>
          <w:iCs/>
          <w:sz w:val="20"/>
          <w:szCs w:val="20"/>
        </w:rPr>
        <w:t xml:space="preserve">'আপীল্যান্টদের পক্ষে বর্তমানে কার্যকর রাষ্ট্রীয় record বিদ্যমান; বিবাদীপক্ষকে সেই record অতিক্রম করিয়া একটি competing title chain প্রতিষ্ঠা করিতে হইবে। Section 144A-এর presumption-এর কারণে এই দুইটি evidentiary position আইনত সমান নহে।'</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কথিত Misc Case 1181/1969 — প্রতিরক্ষার সবচেয়ে বড় Evidentiary Gap</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১১৮১ নং Misc Case-ই allegedly SA position পরিবর্তনের legal source।*</w:t>
      </w:r>
    </w:p>
    <w:p>
      <w:r>
        <w:rPr>
          <w:rFonts w:ascii="Kalpurush" w:cs="Kalpurush" w:eastAsia="Kalpurush" w:hAnsi="Kalpurush"/>
        </w:rPr>
        <w:t xml:space="preserve"/>
      </w:r>
    </w:p>
    <w:p>
      <w:r>
        <w:rPr>
          <w:rFonts w:ascii="Kalpurush" w:cs="Kalpurush" w:eastAsia="Kalpurush" w:hAnsi="Kalpurush"/>
          <w:sz w:val="20"/>
          <w:szCs w:val="20"/>
        </w:rPr>
        <w:t xml:space="preserve">*তাহলে আমাদের কেন্দ্রীয় ও সবচেয়ে শক্তিশালী প্রশ্ন:*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'মহামান্য আদালত, AC Land volume entry দেখানো হয়েছে — কিন্তু যে আদেশের ভিত্তিতে entry-টি allegedly তৈরি, সেই আদেশ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আদালতে উপস্থাপন করিতে পারে নাই —*</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Application</w:t>
      </w:r>
      <w:r>
        <w:rPr>
          <w:rFonts w:ascii="Kalpurush" w:cs="Kalpurush" w:eastAsia="Kalpurush" w:hAnsi="Kalpurush"/>
          <w:sz w:val="20"/>
          <w:szCs w:val="20"/>
        </w:rPr>
        <w:t xml:space="preserve"> (আরজি বা দরখাস্ত);*</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Order Sheet</w:t>
      </w:r>
      <w:r>
        <w:rPr>
          <w:rFonts w:ascii="Kalpurush" w:cs="Kalpurush" w:eastAsia="Kalpurush" w:hAnsi="Kalpurush"/>
          <w:sz w:val="20"/>
          <w:szCs w:val="20"/>
        </w:rPr>
        <w:t xml:space="preserve"> (আদেশনামা);*</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Judgment</w:t>
      </w:r>
      <w:r>
        <w:rPr>
          <w:rFonts w:ascii="Kalpurush" w:cs="Kalpurush" w:eastAsia="Kalpurush" w:hAnsi="Kalpurush"/>
          <w:sz w:val="20"/>
          <w:szCs w:val="20"/>
        </w:rPr>
        <w:t xml:space="preserve"> (রায়);*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Final Order / Decree</w:t>
      </w:r>
      <w:r>
        <w:rPr>
          <w:rFonts w:ascii="Kalpurush" w:cs="Kalpurush" w:eastAsia="Kalpurush" w:hAnsi="Kalpurush"/>
          <w:sz w:val="20"/>
          <w:szCs w:val="20"/>
        </w:rPr>
        <w:t xml:space="preserve"> (চূড়ান্ত আদেশ বা ডিক্রি);*</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Certified Copy</w:t>
      </w:r>
      <w:r>
        <w:rPr>
          <w:rFonts w:ascii="Kalpurush" w:cs="Kalpurush" w:eastAsia="Kalpurush" w:hAnsi="Kalpurush"/>
          <w:sz w:val="20"/>
          <w:szCs w:val="20"/>
        </w:rPr>
        <w:t xml:space="preserve"> (সইমোহরি নকল);*</w:t>
      </w:r>
    </w:p>
    <w:p>
      <w:r>
        <w:rPr>
          <w:rFonts w:ascii="Kalpurush" w:cs="Kalpurush" w:eastAsia="Kalpurush" w:hAnsi="Kalpurush"/>
          <w:sz w:val="20"/>
          <w:szCs w:val="20"/>
        </w:rPr>
        <w:t xml:space="preserve">*৬. এমনকি বিবাদীপক্ষ আদালত মারফত মূল নথি তলবের কোনো উদ্যোগও গ্রহণ করে নাই।*</w:t>
      </w:r>
    </w:p>
    <w:p>
      <w:r>
        <w:rPr>
          <w:rFonts w:ascii="Kalpurush" w:cs="Kalpurush" w:eastAsia="Kalpurush" w:hAnsi="Kalpurush"/>
        </w:rPr>
        <w:t xml:space="preserve"/>
      </w:r>
    </w:p>
    <w:p>
      <w:r>
        <w:rPr>
          <w:rFonts w:ascii="Kalpurush" w:cs="Kalpurush" w:eastAsia="Kalpurush" w:hAnsi="Kalpurush"/>
          <w:sz w:val="20"/>
          <w:szCs w:val="20"/>
        </w:rPr>
        <w:t xml:space="preserve">*আসল আক্রমণ হইল পাঁচটি মৌলিক প্রমাণের সম্পূর্ণ অনুপস্থিতির উপর:*</w:t>
      </w:r>
    </w:p>
    <w:p>
      <w:r>
        <w:rPr>
          <w:rFonts w:ascii="Kalpurush" w:cs="Kalpurush" w:eastAsia="Kalpurush" w:hAnsi="Kalpurush"/>
          <w:sz w:val="20"/>
          <w:szCs w:val="20"/>
        </w:rPr>
        <w:t xml:space="preserve">$$\text{Existence} \longrightarrow \text{Contents} \longrightarrow \text{Jurisdiction} \longrightarrow \text{Legal Effect} \longrightarrow \text{Implementation}$$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সাক্ষ্যগত যুক্তির ভিত্তি (Evidentiary Logic) হইল —*</w:t>
      </w:r>
    </w:p>
    <w:p>
      <w:pPr>
        <w:ind w:left="720"/>
      </w:pPr>
      <w:r>
        <w:rPr>
          <w:rFonts w:ascii="Kalpurush" w:cs="Kalpurush" w:eastAsia="Kalpurush" w:hAnsi="Kalpurush"/>
          <w:b/>
          <w:bCs/>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*"Question of title cannot be decided in a miscellaneous proceeding. Declaration of title requires a properly constituted civil suit."*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AC Land Volume বনাম District Record Room — Record Hierarchy ও Provenance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*এখানে লিখিত যুক্তিতর্কে অত্যন্ত সতর্ক ও বিচারিক ভাষা ব্যবহার করা আবশ্যক:*</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the AC Land volume is a genuine revenue record, the respondents must still establish its legal source, nature and authority to alter the substantive interest recorded in SA 238. A revenue volume entry cannot, merely by appearing in a government office book, acquire the evidentiary effect of a judicial or statutory correction order.'</w:t>
      </w:r>
    </w:p>
    <w:p>
      <w:r>
        <w:rPr>
          <w:rFonts w:ascii="Kalpurush" w:cs="Kalpurush" w:eastAsia="Kalpurush" w:hAnsi="Kalpurush"/>
        </w:rPr>
        <w:t xml:space="preserve"/>
      </w:r>
    </w:p>
    <w:p>
      <w:r>
        <w:rPr>
          <w:rFonts w:ascii="Kalpurush" w:cs="Kalpurush" w:eastAsia="Kalpurush" w:hAnsi="Kalpurush"/>
          <w:sz w:val="20"/>
          <w:szCs w:val="20"/>
        </w:rPr>
        <w:t xml:space="preserve">*কারণ আদালতকে আগে দেখতে হবে এই এন্ট্রিটির প্রকৃত স্বরূপ কী — Mutation? Correction? Clerical alteration? Court order implementation? Revenue proceeding? নাকি কেবল একটি administrative note? যে entry-এর nature-ই নিশ্চিত নয়, সেটিকে substantive title displacement-এর ভিত্তি বানানো যায়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 (Evidence on Record):</w:t>
      </w:r>
    </w:p>
    <w:p>
      <w:r>
        <w:rPr>
          <w:rFonts w:ascii="Kalpurush" w:cs="Kalpurush" w:eastAsia="Kalpurush" w:hAnsi="Kalpurush"/>
          <w:sz w:val="20"/>
          <w:szCs w:val="20"/>
        </w:rPr>
        <w:t xml:space="preserve">*বিবাদীদের সাক্ষী DW-4 আদালতে —*</w:t>
      </w:r>
    </w:p>
    <w:p>
      <w:pPr>
        <w:pStyle w:val="ListParagraph"/>
        <w:numPr>
          <w:ilvl w:val="0"/>
          <w:numId w:val="1"/>
        </w:numPr>
      </w:pPr>
      <w:r>
        <w:rPr>
          <w:rFonts w:ascii="Kalpurush" w:cs="Kalpurush" w:eastAsia="Kalpurush" w:hAnsi="Kalpurush"/>
          <w:sz w:val="20"/>
          <w:szCs w:val="20"/>
        </w:rPr>
        <w:t xml:space="preserve">*এন্ট্রির মূল উৎস বা provenance প্রতিষ্ঠা করতে পারেননি;*</w:t>
      </w:r>
    </w:p>
    <w:p>
      <w:pPr>
        <w:pStyle w:val="ListParagraph"/>
        <w:numPr>
          <w:ilvl w:val="0"/>
          <w:numId w:val="1"/>
        </w:numPr>
      </w:pPr>
      <w:r>
        <w:rPr>
          <w:rFonts w:ascii="Kalpurush" w:cs="Kalpurush" w:eastAsia="Kalpurush" w:hAnsi="Kalpurush"/>
          <w:sz w:val="20"/>
          <w:szCs w:val="20"/>
        </w:rPr>
        <w:t xml:space="preserve">*কোনো underlying file বা parent order প্রদর্শন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*প্রাসঙ্গিক আইনি নজির —*</w:t>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*"A volume note or mutation entry carries no statutory presumption of correctness without the underlying parent order."*</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*"SA Khatian changes made in separate ink or handwriting without a parent judicial order sheet are invalid and legally ineffective."*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*"An administrative ROR entry or procured mutation note cannot override an established title or statutory presumption attached to a finally published record."*</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জেলা রেকর্ড রুমের ৫০ বছরের নীরবতা — স্বাধীন পরিস্থিতিগত প্রমাণ</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সালের correction সত্যিই substantive এবং legally operative হয়ে থাকে, তাহলে অর্ধশতাব্দী পরেও authoritative settlement record-এ তার প্রতিফলন কোথায়?*</w:t>
      </w:r>
    </w:p>
    <w:p>
      <w:r>
        <w:rPr>
          <w:rFonts w:ascii="Kalpurush" w:cs="Kalpurush" w:eastAsia="Kalpurush" w:hAnsi="Kalpurush"/>
        </w:rPr>
        <w:t xml:space="preserve"/>
      </w:r>
    </w:p>
    <w:p>
      <w:r>
        <w:rPr>
          <w:rFonts w:ascii="Kalpurush" w:cs="Kalpurush" w:eastAsia="Kalpurush" w:hAnsi="Kalpurush"/>
          <w:sz w:val="20"/>
          <w:szCs w:val="20"/>
        </w:rPr>
        <w:t xml:space="preserve">*বিশেষ করে যদি একজনের ১৬ আনা recorded interest পরিবর্তিত হয়ে অন্য ব্যক্তির substantive interest সৃষ্টি হয়ে থাকে, তাহলে সেই পরিবর্তনের কোনো official trace থাকা স্বাভাবিক প্রত্যাশা।*</w:t>
      </w:r>
    </w:p>
    <w:p>
      <w:r>
        <w:rPr>
          <w:rFonts w:ascii="Kalpurush" w:cs="Kalpurush" w:eastAsia="Kalpurush" w:hAnsi="Kalpurush"/>
        </w:rPr>
        <w:t xml:space="preserve"/>
      </w:r>
    </w:p>
    <w:p>
      <w:r>
        <w:rPr>
          <w:rFonts w:ascii="Kalpurush" w:cs="Kalpurush" w:eastAsia="Kalpurush" w:hAnsi="Kalpurush"/>
          <w:sz w:val="20"/>
          <w:szCs w:val="20"/>
        </w:rPr>
        <w:t xml:space="preserve">*এখানে তিনটি সুনির্দিষ্ট প্রাতিষ্ঠানিক প্রশ্ন:*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Original SA 238 আজও District Record Room-এ Abdul Ali-এর নামে কেন?</w:t>
      </w:r>
      <w:r>
        <w:rPr>
          <w:rFonts w:ascii="Kalpurush" w:cs="Kalpurush" w:eastAsia="Kalpurush" w:hAnsi="Kalpurush"/>
          <w:sz w:val="20"/>
          <w:szCs w:val="20"/>
        </w:rPr>
        <w:t xml:space="preserve">*</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সংশোধিত SA copy কোথায়?</w:t>
      </w:r>
      <w:r>
        <w:rPr>
          <w:rFonts w:ascii="Kalpurush" w:cs="Kalpurush" w:eastAsia="Kalpurush" w:hAnsi="Kalpurush"/>
          <w:sz w:val="20"/>
          <w:szCs w:val="20"/>
        </w:rPr>
        <w:t xml:space="preserve">*</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Correction-এর official record trail (Register of Alterations) কোথায়?</w:t>
      </w:r>
      <w:r>
        <w:rPr>
          <w:rFonts w:ascii="Kalpurush" w:cs="Kalpurush" w:eastAsia="Kalpurush" w:hAnsi="Kalpurush"/>
          <w:sz w:val="20"/>
          <w:szCs w:val="20"/>
        </w:rPr>
        <w:t xml:space="preserve">*</w:t>
      </w:r>
    </w:p>
    <w:p>
      <w:r>
        <w:rPr>
          <w:rFonts w:ascii="Kalpurush" w:cs="Kalpurush" w:eastAsia="Kalpurush" w:hAnsi="Kalpurush"/>
        </w:rPr>
        <w:t xml:space="preserve"/>
      </w:r>
    </w:p>
    <w:p>
      <w:r>
        <w:rPr>
          <w:rFonts w:ascii="Kalpurush" w:cs="Kalpurush" w:eastAsia="Kalpurush" w:hAnsi="Kalpurush"/>
          <w:sz w:val="20"/>
          <w:szCs w:val="20"/>
        </w:rPr>
        <w:t xml:space="preserve">*এটি একা correction 'অসম্ভব' প্রমাণ করে না; কিন্তু একটি disputed volume entry-কে সম্পূর্ণ corroboration-বিহীন রেখে দেয়, বিশেষত যখন parent order-ও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১৯৭৫ সালের রেজিস্ট্রিকৃত দলিল (Deed No. 3596/1975) — প্রতিরক্ষার কেন্দ্রীয়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theory:*</w:t>
      </w:r>
    </w:p>
    <w:p>
      <w:r>
        <w:rPr>
          <w:rFonts w:ascii="Kalpurush" w:cs="Kalpurush" w:eastAsia="Kalpurush" w:hAnsi="Kalpurush"/>
          <w:sz w:val="20"/>
          <w:szCs w:val="20"/>
        </w:rPr>
        <w:t xml:space="preserve">$$\text{Alleged 1969 correction} \longrightarrow \text{SA 238 effectively one dag (1259)}$$</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বর্ণনা:*</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স্পষ্ট ও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*আমরা এটিকে 'fraud proved' বলব না; আমরা পরিমিত বিচারিক ভাষায় বলব:*</w:t>
      </w:r>
    </w:p>
    <w:p>
      <w:pPr>
        <w:ind w:left="720"/>
      </w:pPr>
      <w:r>
        <w:rPr>
          <w:rFonts w:ascii="Kalpurush" w:cs="Kalpurush" w:eastAsia="Kalpurush" w:hAnsi="Kalpurush"/>
          <w:b/>
          <w:bCs/>
          <w:i/>
          <w:iCs/>
          <w:sz w:val="20"/>
          <w:szCs w:val="20"/>
        </w:rPr>
        <w:t xml:space="preserve">'It creates a serious documentary contradiction that materially weakens and undermines the credibility of the alleged correction theory.'</w:t>
      </w:r>
    </w:p>
    <w:p>
      <w:r>
        <w:rPr>
          <w:rFonts w:ascii="Kalpurush" w:cs="Kalpurush" w:eastAsia="Kalpurush" w:hAnsi="Kalpurush"/>
        </w:rPr>
        <w:t xml:space="preserve"/>
      </w:r>
    </w:p>
    <w:p>
      <w:r>
        <w:rPr>
          <w:rFonts w:ascii="Kalpurush" w:cs="Kalpurush" w:eastAsia="Kalpurush" w:hAnsi="Kalpurush"/>
          <w:sz w:val="20"/>
          <w:szCs w:val="20"/>
        </w:rPr>
        <w:t xml:space="preserve">*এই দালিলিক স্ববিরোধিতা বিবাদীদের কথিত সংশোধনের ভিত্তিমূলকে আদালতসমক্ষে অকার্যকর প্রমাণ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সোনাভানুর অন্য ওয়ারিশদের (বেলুয়া ও কমলা) অবস্থান — Selective Entry</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*বিবাদীদের নিজস্ব বক্তব্য অনুযায়ী সোনাভানুর inheritance theory যদি সত্য হয়, তাহলে অন্যান্য ওয়ারিশদের অবস্থানও পরিষ্কার হওয়ার কথা ছিল।*</w:t>
      </w:r>
    </w:p>
    <w:p>
      <w:r>
        <w:rPr>
          <w:rFonts w:ascii="Kalpurush" w:cs="Kalpurush" w:eastAsia="Kalpurush" w:hAnsi="Kalpurush"/>
        </w:rPr>
        <w:t xml:space="preserve"/>
      </w:r>
    </w:p>
    <w:p>
      <w:r>
        <w:rPr>
          <w:rFonts w:ascii="Kalpurush" w:cs="Kalpurush" w:eastAsia="Kalpurush" w:hAnsi="Kalpurush"/>
          <w:sz w:val="20"/>
          <w:szCs w:val="20"/>
        </w:rPr>
        <w:t xml:space="preserve">*কিন্তু বিচারিক রেকর্ড অনুযায়ী — বেলুয়া, কমলা ইত্যাদি ওয়ারিশদের নাম কথিত সংশোধিত কাঠামোতে অন্তর্ভুক্ত নেই।*</w:t>
      </w:r>
    </w:p>
    <w:p>
      <w:r>
        <w:rPr>
          <w:rFonts w:ascii="Kalpurush" w:cs="Kalpurush" w:eastAsia="Kalpurush" w:hAnsi="Kalpurush"/>
        </w:rPr>
        <w:t xml:space="preserve"/>
      </w:r>
    </w:p>
    <w:p>
      <w:r>
        <w:rPr>
          <w:rFonts w:ascii="Kalpurush" w:cs="Kalpurush" w:eastAsia="Kalpurush" w:hAnsi="Kalpurush"/>
          <w:sz w:val="20"/>
          <w:szCs w:val="20"/>
        </w:rPr>
        <w:t xml:space="preserve">*আমাদের বক্তব্য:*</w:t>
      </w:r>
    </w:p>
    <w:p>
      <w:pPr>
        <w:ind w:left="720"/>
      </w:pPr>
      <w:r>
        <w:rPr>
          <w:rFonts w:ascii="Kalpurush" w:cs="Kalpurush" w:eastAsia="Kalpurush" w:hAnsi="Kalpurush"/>
          <w:b/>
          <w:bCs/>
          <w:i/>
          <w:iCs/>
          <w:sz w:val="20"/>
          <w:szCs w:val="20"/>
        </w:rPr>
        <w:t xml:space="preserve">'The selective nature of the alleged entry creates a further evidentiary difficulty: if the entry is said to reflect a genuine adjudication of inheritance, the respondents must explain why the alleged correction does not correspond with the complete succession structure they themselves assert.'</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গাণিতিক অসামঞ্জস্য (Arithmetic Discrepancy) — Supporting Circumstance</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হিসাবটিকে আমরা কোনো স্বাধীন স্বত্বের প্রমাণ হিসেবে উপস্থাপন করছি না; বরং সহায়ক পরিস্থিতিগত প্রমাণ হিসেবে বিবেচ্য:*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*বাদীপক্ষের হিসাব:*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sz w:val="20"/>
          <w:szCs w:val="20"/>
        </w:rPr>
        <w:t xml:space="preserve">*বিবাদীপক্ষের হিসাব:* ৩৪৯ শতাংশ + সরকারি খাস ১৩৭ শতাংশ = ৪৮৬ শতাংশ (৯ শতাংশ অতিরিক্ত জমি)।</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arithmetic discrepancy is not relied upon as an independent title proof; it is a supporting circumstance showing that the respondents' measurement/share narrative requires explanation.'</w:t>
      </w:r>
      <w:r>
        <w:rPr>
          <w:rFonts w:ascii="Kalpurush" w:cs="Kalpurush" w:eastAsia="Kalpurush" w:hAnsi="Kalpurush"/>
          <w:i/>
          <w:iCs/>
          <w:sz w:val="20"/>
          <w:szCs w:val="20"/>
        </w:rPr>
        <w:t xml:space="preserv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প্রমাণের দায় (Burden of Proof) — ট্রায়াল কোর্টের বিরুদ্ধে সবচেয়ে পরিষ্কার আইনি গ্রাউন্ড</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*আপীল্যান্টদের মামলা:* SA ২৩৮ বিদ্যমান $\rightarrow$ আব্দুল আলী ১৬ আনা রেকর্ডভুক্ত রায়ত $\rightarrow$ Final publication $\rightarrow$ জেলা রেকর্ড রুমের অবিচ্ছিন্ন ধারাবাহিকতা।</w:t>
      </w:r>
    </w:p>
    <w:p>
      <w:pPr>
        <w:pStyle w:val="ListParagraph"/>
        <w:numPr>
          <w:ilvl w:val="0"/>
          <w:numId w:val="1"/>
        </w:numPr>
      </w:pPr>
      <w:r>
        <w:rPr>
          <w:rFonts w:ascii="Kalpurush" w:cs="Kalpurush" w:eastAsia="Kalpurush" w:hAnsi="Kalpurush"/>
          <w:sz w:val="20"/>
          <w:szCs w:val="20"/>
        </w:rPr>
        <w:t xml:space="preserve">*বিবাদীপক্ষের মামলা:* 'SA রেকর্ড ভুল/সংশোধিত, কারণ ১৯৬৯ সালে ঘটনা ঘটিয়াছে।'</w:t>
      </w:r>
    </w:p>
    <w:p>
      <w:r>
        <w:rPr>
          <w:rFonts w:ascii="Kalpurush" w:cs="Kalpurush" w:eastAsia="Kalpurush" w:hAnsi="Kalpurush"/>
        </w:rPr>
        <w:t xml:space="preserve"/>
      </w:r>
    </w:p>
    <w:p>
      <w:r>
        <w:rPr>
          <w:rFonts w:ascii="Kalpurush" w:cs="Kalpurush" w:eastAsia="Kalpurush" w:hAnsi="Kalpurush"/>
          <w:sz w:val="20"/>
          <w:szCs w:val="20"/>
        </w:rPr>
        <w:t xml:space="preserve">*তাহলে সেই ঘটনার প্রমাণ কোথায়? Evidence Act Section 103-এর সাধারণ নীতি হলো — যে পক্ষ কোনো particular fact-এর অস্তিত্ব আদালতকে বিশ্বাস করাতে চায়, তার প্রমাণের ভার তাহারই উপর।*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'Plaintiff has nothing more to prove.' বরং আমাদের সুনির্দিষ্ট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'Once the plaintiff relied upon the finally published SA record, the evidentiary burden concerning the alleged subsequent correction could not be reversed merely because the defendants asserted that correction. The challenger had to establish the corrective event by positive evidence.'</w:t>
      </w:r>
    </w:p>
    <w:p>
      <w:r>
        <w:rPr>
          <w:rFonts w:ascii="Kalpurush" w:cs="Kalpurush" w:eastAsia="Kalpurush" w:hAnsi="Kalpurush"/>
        </w:rPr>
        <w:t xml:space="preserve"/>
      </w:r>
    </w:p>
    <w:p>
      <w:r>
        <w:rPr>
          <w:rFonts w:ascii="Kalpurush" w:cs="Kalpurush" w:eastAsia="Kalpurush" w:hAnsi="Kalpurush"/>
          <w:sz w:val="20"/>
          <w:szCs w:val="20"/>
        </w:rPr>
        <w:t xml:space="preserve">*প্রাসঙ্গিক আপীল বিভাগের নজির —*</w:t>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*"The burden of proving the error in the record of rights lies heavily on the challenging party."*</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Nuruddin Ahmed vs. Md. Jaman, 45 DLR (AD) 124:</w:t>
      </w:r>
    </w:p>
    <w:p>
      <w:pPr>
        <w:ind w:left="720"/>
      </w:pPr>
      <w:r>
        <w:rPr>
          <w:rFonts w:ascii="Kalpurush" w:cs="Kalpurush" w:eastAsia="Kalpurush" w:hAnsi="Kalpurush"/>
          <w:i/>
          <w:iCs/>
          <w:sz w:val="20"/>
          <w:szCs w:val="20"/>
        </w:rPr>
        <w:t xml:space="preserve">*"A trial court errs in law when it requires the plaintiff to disprove every counter-assertion instead of holding the challenger to their onus."*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Sufia Bewa vs. Md. Aminul Islam, 19 SCOB [2024] HCD 85 (Para 39):</w:t>
      </w:r>
    </w:p>
    <w:p>
      <w:pPr>
        <w:ind w:left="720"/>
      </w:pPr>
      <w:r>
        <w:rPr>
          <w:rFonts w:ascii="Kalpurush" w:cs="Kalpurush" w:eastAsia="Kalpurush" w:hAnsi="Kalpurush"/>
          <w:i/>
          <w:iCs/>
          <w:sz w:val="20"/>
          <w:szCs w:val="20"/>
        </w:rPr>
        <w:t xml:space="preserve">*"বাদীর দাবির সাময়িক দুর্বলতার সুযোগে বিবাদী উপযুক্ত নথিপত্র ছাড়া স্বত্ববান বা মালিক হইতে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ট্রায়াল কোর্টের রায়ে মূল ৪টি কাঠামোগত ভুল (The 4 Structural Errors)</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ট্রায়াল কোর্টের রায়টি মূলত ৪টি কাঠামোগত ভুলের উপর প্রতিষ্ঠিত:*</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Error 1 — Assumption before proof:</w:t>
      </w:r>
    </w:p>
    <w:p>
      <w:r>
        <w:rPr>
          <w:rFonts w:ascii="Kalpurush" w:cs="Kalpurush" w:eastAsia="Kalpurush" w:hAnsi="Kalpurush"/>
          <w:sz w:val="20"/>
          <w:szCs w:val="20"/>
        </w:rPr>
        <w:t xml:space="preserve">   Trial Court first assumed Abdul Karim's foundational tenancy without primary documentary proof and then used that assumption to undermine SA 238.</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Error 2 — Missing foundation accepted as established fact:</w:t>
      </w:r>
    </w:p>
    <w:p>
      <w:r>
        <w:rPr>
          <w:rFonts w:ascii="Kalpurush" w:cs="Kalpurush" w:eastAsia="Kalpurush" w:hAnsi="Kalpurush"/>
          <w:sz w:val="20"/>
          <w:szCs w:val="20"/>
        </w:rPr>
        <w:t xml:space="preserve">   1969 Misc Case-এর legal effect ধরে নেওয়া হয়েছে, যদিও underlying order বা parent proceeding আদালতে properly proved নয়।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Error 3 — Secondary/revenue entry given disproportionate weight:</w:t>
      </w:r>
    </w:p>
    <w:p>
      <w:r>
        <w:rPr>
          <w:rFonts w:ascii="Kalpurush" w:cs="Kalpurush" w:eastAsia="Kalpurush" w:hAnsi="Kalpurush"/>
          <w:sz w:val="20"/>
          <w:szCs w:val="20"/>
        </w:rPr>
        <w:t xml:space="preserve">   AC Land volume entry-এর evidentiary/legal status independently established না করেই সেটিকে final SA record-এর বিরুদ্ধে ব্যবহার করা হয়েছে।</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Error 4 — Material contradictions not resolved:</w:t>
      </w:r>
    </w:p>
    <w:p>
      <w:r>
        <w:rPr>
          <w:rFonts w:ascii="Kalpurush" w:cs="Kalpurush" w:eastAsia="Kalpurush" w:hAnsi="Kalpurush"/>
          <w:sz w:val="20"/>
          <w:szCs w:val="20"/>
        </w:rPr>
        <w:t xml:space="preserve">   1975 deed-এর 6-dag description বনাম alleged 1-dag volume entry, selective heir omission এবং arithmetic discrepancy — এই material contradictions-এর adequate judicial consideration ট্রায়াল কোর্টের রায়ে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Hotchpot ও Non-joinder — Supporting Ground</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SA ২৩৮ একটি স্বতন্ত্র private raiyati holding; সরকারি জমি পৃথক খাস খতিয়ানে অন্তর্ভুক্ত। আপীল্যান্ট বাদীপক্ষ সরকারি জমিতে কোনো অংশ দাবি করেন নাই এবং সরকারের বিরুদ্ধে কোনো প্রতিকার চান নাই। The alleged Government land is neither claimed by the plaintiffs nor sought to be partitioned. পৃথক খতিয়ানের জমি বাদ দিলে আংশিক বাটোয়ারার কোনো দোষ ঘটে না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Shahjahan Akon vs. Murshida Khanam, 27 BLD (HD) 229:</w:t>
      </w:r>
    </w:p>
    <w:p>
      <w:pPr>
        <w:ind w:left="720"/>
      </w:pPr>
      <w:r>
        <w:rPr>
          <w:rFonts w:ascii="Kalpurush" w:cs="Kalpurush" w:eastAsia="Kalpurush" w:hAnsi="Kalpurush"/>
          <w:i/>
          <w:iCs/>
          <w:sz w:val="20"/>
          <w:szCs w:val="20"/>
        </w:rPr>
        <w:t xml:space="preserve">*"Separate khatians create separate tenancies; no hotchpot defect arises from leaving out adjacent government plots or land under different tenancies."*</w:t>
      </w:r>
    </w:p>
    <w:p>
      <w:r>
        <w:rPr>
          <w:rFonts w:ascii="Kalpurush" w:cs="Kalpurush" w:eastAsia="Kalpurush" w:hAnsi="Kalpurush"/>
        </w:rPr>
        <w:t xml:space="preserve"/>
      </w:r>
    </w:p>
    <w:p>
      <w:r>
        <w:rPr>
          <w:rFonts w:ascii="Kalpurush" w:cs="Kalpurush" w:eastAsia="Kalpurush" w:hAnsi="Kalpurush"/>
          <w:sz w:val="20"/>
          <w:szCs w:val="20"/>
        </w:rPr>
        <w:t xml:space="preserve">*২. প্রাইভেট কো-শেয়ারারদের মধ্যে বাটোয়ারা মামলায় সরকার আবশ্যকীয় পক্ষ নহে —*</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Safaruddin vs. Fazlul Huq, 49 DLR (AD) 15:</w:t>
      </w:r>
    </w:p>
    <w:p>
      <w:pPr>
        <w:ind w:left="720"/>
      </w:pPr>
      <w:r>
        <w:rPr>
          <w:rFonts w:ascii="Kalpurush" w:cs="Kalpurush" w:eastAsia="Kalpurush" w:hAnsi="Kalpurush"/>
          <w:i/>
          <w:iCs/>
          <w:sz w:val="20"/>
          <w:szCs w:val="20"/>
        </w:rPr>
        <w:t xml:space="preserve">*"The Government is not a necessary party in a private partition suit between co-sharers where no relief is sought against the State."*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Syed Nurul Huda vs. Govt. of Bangladesh, 8 SCOB (2016) HCD 1:</w:t>
      </w:r>
    </w:p>
    <w:p>
      <w:pPr>
        <w:ind w:left="720"/>
      </w:pPr>
      <w:r>
        <w:rPr>
          <w:rFonts w:ascii="Kalpurush" w:cs="Kalpurush" w:eastAsia="Kalpurush" w:hAnsi="Kalpurush"/>
          <w:i/>
          <w:iCs/>
          <w:sz w:val="20"/>
          <w:szCs w:val="20"/>
        </w:rPr>
        <w:t xml:space="preserve">*"A suit for partition cannot fail merely for non-joinder of parties unless the party omitted is a necessary party."*"*</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XIV. ১ নং রেসপন্ডেন্টের (সোলায়মান হোসেন) অবস্থান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সোলায়মান হোসেন আব্দুল আলীর বৈধ ওয়ারিশ হিসেবে বাদীপক্ষের সাথে আপোষ বাটোয়ারায় একমত এবং আদালতে সোলেনামা দাখিল করিয়াছেন (CPC Order XXIII Rule 3)।*</w:t>
      </w:r>
    </w:p>
    <w:p>
      <w:r>
        <w:rPr>
          <w:rFonts w:ascii="Kalpurush" w:cs="Kalpurush" w:eastAsia="Kalpurush" w:hAnsi="Kalpurush"/>
        </w:rPr>
        <w:t xml:space="preserve"/>
      </w:r>
    </w:p>
    <w:p>
      <w:r>
        <w:rPr>
          <w:rFonts w:ascii="Kalpurush" w:cs="Kalpurush" w:eastAsia="Kalpurush" w:hAnsi="Kalpurush"/>
          <w:sz w:val="20"/>
          <w:szCs w:val="20"/>
        </w:rPr>
        <w:t xml:space="preserve">*তাঁকে কোনো contesting title defendant হিসেবে উপস্থাপন করার অবকাশ নাই; বরং তিনি SA ২৩৮-ভিত্তিক বাটোয়ারায় একমত পোষণ করিয়া মামলার বাস্তবসম্মত ন্যায়বিচারকে (practical equity) সমর্থন করিতেছেন।"*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 সমাপনী বক্তব্য ও চূড়ান্ত নিবেদন (Final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বাদীপক্ষকে জয়ী করতে আদালতকে ১৯৩৪ সালের কোনো নতুন গল্প গ্রহণ করতে হবে না।*</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ইতিমধ্যে আছে —*</w:t>
      </w:r>
    </w:p>
    <w:p>
      <w:r>
        <w:rPr>
          <w:rFonts w:ascii="Kalpurush" w:cs="Kalpurush" w:eastAsia="Kalpurush" w:hAnsi="Kalpurush"/>
          <w:sz w:val="20"/>
          <w:szCs w:val="20"/>
        </w:rPr>
        <w:t xml:space="preserve">$$\text{CS ২} \longrightarrow \text{State acquisition/settlement context} \longrightarrow \text{Finally published SA ২৩৮} \longrightarrow \text{আব্দুল আলী ১৬ আনা} \longrightarrow \text{District Record Room continuity}$$</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বিবাদীপক্ষের substantive challenge দাঁড়িয়ে আছে —*</w:t>
      </w:r>
    </w:p>
    <w:p>
      <w:r>
        <w:rPr>
          <w:rFonts w:ascii="Kalpurush" w:cs="Kalpurush" w:eastAsia="Kalpurush" w:hAnsi="Kalpurush"/>
          <w:sz w:val="20"/>
          <w:szCs w:val="20"/>
        </w:rPr>
        <w:t xml:space="preserve">$$\text{Alleged Abdul Karim tenancy} \longrightarrow \text{Alleged inheritance} \longrightarrow \text{Alleged Misc Case 1181/1969} \longrightarrow \text{Alleged correction} \longrightarrow \text{AC Land volume entry}$$</w:t>
      </w:r>
    </w:p>
    <w:p>
      <w:r>
        <w:rPr>
          <w:rFonts w:ascii="Kalpurush" w:cs="Kalpurush" w:eastAsia="Kalpurush" w:hAnsi="Kalpurush"/>
        </w:rPr>
        <w:t xml:space="preserve"/>
      </w:r>
    </w:p>
    <w:p>
      <w:r>
        <w:rPr>
          <w:rFonts w:ascii="Kalpurush" w:cs="Kalpurush" w:eastAsia="Kalpurush" w:hAnsi="Kalpurush"/>
          <w:sz w:val="20"/>
          <w:szCs w:val="20"/>
        </w:rPr>
        <w:t xml:space="preserve">*এই দ্বিতীয় শৃঙ্খলের দুইটি মূল ভিত্তি এখনো অপ্রমাণিত:*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Where is Abdul Karim's legal root tenancy?</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Where is the legal order that actually displaced Abdul Ali's recorded interest?</w:t>
      </w:r>
    </w:p>
    <w:p>
      <w:r>
        <w:rPr>
          <w:rFonts w:ascii="Kalpurush" w:cs="Kalpurush" w:eastAsia="Kalpurush" w:hAnsi="Kalpurush"/>
        </w:rPr>
        <w:t xml:space="preserve"/>
      </w:r>
    </w:p>
    <w:p>
      <w:r>
        <w:rPr>
          <w:rFonts w:ascii="Kalpurush" w:cs="Kalpurush" w:eastAsia="Kalpurush" w:hAnsi="Kalpurush"/>
          <w:sz w:val="20"/>
          <w:szCs w:val="20"/>
        </w:rPr>
        <w:t xml:space="preserve">*এই দুই প্রশ্নের satisfactory documentary answer না পাওয়া পর্যন্ত একটি final SA record-কে displace করার মতো evidentiary foundation তৈরি হয় না।*</w:t>
      </w:r>
    </w:p>
    <w:p>
      <w:r>
        <w:rPr>
          <w:rFonts w:ascii="Kalpurush" w:cs="Kalpurush" w:eastAsia="Kalpurush" w:hAnsi="Kalpurush"/>
        </w:rPr>
        <w:t xml:space="preserve"/>
      </w:r>
    </w:p>
    <w:p>
      <w:r>
        <w:rPr>
          <w:rFonts w:ascii="Kalpurush" w:cs="Kalpurush" w:eastAsia="Kalpurush" w:hAnsi="Kalpurush"/>
          <w:sz w:val="20"/>
          <w:szCs w:val="20"/>
        </w:rPr>
        <w:t xml:space="preserve">*আর যখন বিবাদীদের নিজেদের ১৯৭৫ সালের রেজিস্ট্রিকৃত দলিল তলবকৃত ভলিউমের ১-দাগের ধারণার বিপরীতে ৬-দাগের বর্ণনা দিয়ে সাংঘর্ষিক হয়ে ওঠে, তখন কথিত সংশোধনের ধারণার credibility আরও দুর্বল হয়।*</w:t>
      </w:r>
    </w:p>
    <w:p>
      <w:r>
        <w:rPr>
          <w:rFonts w:ascii="Kalpurush" w:cs="Kalpurush" w:eastAsia="Kalpurush" w:hAnsi="Kalpurush"/>
        </w:rPr>
        <w:t xml:space="preserve"/>
      </w:r>
    </w:p>
    <w:p>
      <w:r>
        <w:rPr>
          <w:rFonts w:ascii="Kalpurush" w:cs="Kalpurush" w:eastAsia="Kalpurush" w:hAnsi="Kalpurush"/>
          <w:sz w:val="20"/>
          <w:szCs w:val="20"/>
        </w:rPr>
        <w:t xml:space="preserve">*অতএব আমাদের বক্তব্য খুব সীমিত এবং সুনির্দিষ্ট:*</w:t>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sz w:val="20"/>
          <w:szCs w:val="20"/>
        </w:rPr>
        <w:t xml:space="preserve">*সেই প্রমাণের ঘাটতি পূরণ করার জন্য একটি unexplained volume entry আইনগতভাবে যথেষ্ট নয়। এই কারণে বিজ্ঞ বিচারিক আদালতের রায় পুনর্বিবেচনার দাবি রাখে।"*</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 বাদীপক্ষ এবং ১নং রেসপন্ডেন্টের সোলেনামার অনুকূলে নালিশী সম্পত্তিতে </w:t>
      </w:r>
      <w:r>
        <w:rPr>
          <w:rFonts w:ascii="Kalpurush" w:cs="Kalpurush" w:eastAsia="Kalpurush" w:hAnsi="Kalpurush"/>
          <w:b/>
          <w:bCs/>
          <w:sz w:val="20"/>
          <w:szCs w:val="20"/>
        </w:rPr>
        <w:t xml:space="preserve">প্রাথমিক ডিক্রি (Preliminary Decree)</w:t>
      </w:r>
      <w:r>
        <w:rPr>
          <w:rFonts w:ascii="Kalpurush" w:cs="Kalpurush" w:eastAsia="Kalpurush" w:hAnsi="Kalpurush"/>
          <w:sz w:val="20"/>
          <w:szCs w:val="20"/>
        </w:rPr>
        <w:t xml:space="preserv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বিকল্পে, একজন বিজ্ঞ Advocate Commissioner নিয়োগ করিয়া সরকারের খাস জমিতে কোনো হস্তক্ষেপ না করিয়া কেবল SA ২৩৮-ভুক্ত সম্পত্তিতে বাদীদের অংশ সরেজমিনে নির্ধারণ ও বণ্টনের ব্যবস্থা করা হউক;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2026-08-15T07:05:05.645Z</dcterms:created>
  <dcterms:modified xsi:type="dcterms:W3CDTF">2026-08-15T07:05:05.645Z</dcterms:modified>
</cp:coreProperties>
</file>

<file path=docProps/custom.xml><?xml version="1.0" encoding="utf-8"?>
<Properties xmlns="http://schemas.openxmlformats.org/officeDocument/2006/custom-properties" xmlns:vt="http://schemas.openxmlformats.org/officeDocument/2006/docPropsVTypes"/>
</file>