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সরাসরি পাঠযোগ্য ওরাল আর্গুমেন্ট ও মাস্টার সাবমিশন (Version 76 — Verbatim Oral Submission &amp; Authority Quotes)</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মহামান্য আদালতের উদ্দেশ্যে প্রারম্ভিক সম্বোধন ও রোডম্যাপ (Opening Address)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আদালতের মূল্যবান সময় বিবেচনা করিয়া আমি শুনানির শুরুতেই একটি ৫ মিনিটের সুনির্দিষ্ট রোডম্যাপ উপস্থাপন করিতে চাই, যাহা এই আপীলের সমগ্র আইনি সীমানা স্পষ্ট করিয়া দিবে।*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শুনানিতে ৫ মিনিটের রোডম্যাপ:</w:t>
      </w:r>
    </w:p>
    <w:p>
      <w:r>
        <w:rPr>
          <w:rFonts w:ascii="Kalpurush" w:cs="Kalpurush" w:eastAsia="Kalpurush" w:hAnsi="Kalpurush"/>
        </w:rPr>
        <w:t xml:space="preserve"/>
      </w:r>
    </w:p>
    <w:p>
      <w:r>
        <w:rPr>
          <w:rFonts w:ascii="Kalpurush" w:cs="Kalpurush" w:eastAsia="Kalpurush" w:hAnsi="Kalpurush"/>
          <w:b/>
          <w:bCs/>
          <w:sz w:val="20"/>
          <w:szCs w:val="20"/>
        </w:rPr>
        <w:t xml:space="preserve">১. প্রথম মিনিট (The Legal Starting Point):</w:t>
      </w:r>
    </w:p>
    <w:p>
      <w:pPr>
        <w:ind w:left="720"/>
      </w:pPr>
      <w:r>
        <w:rPr>
          <w:rFonts w:ascii="Kalpurush" w:cs="Kalpurush" w:eastAsia="Kalpurush" w:hAnsi="Kalpurush"/>
          <w:i/>
          <w:iCs/>
          <w:sz w:val="20"/>
          <w:szCs w:val="20"/>
        </w:rPr>
        <w:t xml:space="preserve">*মহামান্য আদালত, এই আপীলের নিষ্পত্তির জন্য ১৯৩৪ সালের কথিত পত্তনের সম্পূর্ণ ইতিহাস পুনর্গঠন করা আবশ্যক নহে। আমাদের মূল আইনি ভিত্তি হইল — রাষ্ট্র ১৯৫২ সালে জমিদারি অধিগ্রহণ করিয়াছে এবং সরেজমিনে জমি, দখল ও খাজনা যাচাই করিয়া SA ২৩৮ নং খতিয়ান প্রস্তুত করিয়াছে। জেলা প্রশাসকের সেন্ট্রাল রেকর্ড রুমে আজও সেই সরকারি মূল রেকর্ড আব্দুল আলীর নামে ১৬ আনা একক রায়ত হিসেবে সম্পূর্ণ অক্ষত ও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দ্বিতীয় মিনিট (The Statutory Presumption):</w:t>
      </w:r>
    </w:p>
    <w:p>
      <w:pPr>
        <w:ind w:left="720"/>
      </w:pPr>
      <w:r>
        <w:rPr>
          <w:rFonts w:ascii="Kalpurush" w:cs="Kalpurush" w:eastAsia="Kalpurush" w:hAnsi="Kalpurush"/>
          <w:i/>
          <w:iCs/>
          <w:sz w:val="20"/>
          <w:szCs w:val="20"/>
        </w:rPr>
        <w:t xml:space="preserve">*আমরা বলছি না SA খতিয়ান কোনো অবস্থাতেই ভুল হতে পারে না। আইনের বিধান অনুযায়ী Record of Rights-এর presumption হলো rebuttable; কিন্তু সেই অনুমান খণ্ডন করতে হলে challenger-কে নির্ভরযোগ্য ও সুনির্দিষ্ট দালিলিক সাক্ষ্য উপস্থাপন করতে হবে — কেবল মুখের দাবি যথেষ্ট নয়। বাদীপক্ষ সইমোহরি SA ২৩৮ খতিয়ান (প্রদর্শনী-৪) দাখিল করে প্রমাণের প্রাথমিক দায়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তৃতীয় মিনিট (The Missing Foundation of Defence):</w:t>
      </w:r>
    </w:p>
    <w:p>
      <w:pPr>
        <w:ind w:left="720"/>
      </w:pPr>
      <w:r>
        <w:rPr>
          <w:rFonts w:ascii="Kalpurush" w:cs="Kalpurush" w:eastAsia="Kalpurush" w:hAnsi="Kalpurush"/>
          <w:i/>
          <w:iCs/>
          <w:sz w:val="20"/>
          <w:szCs w:val="20"/>
        </w:rPr>
        <w:t xml:space="preserve">*বিবাদীপক্ষের সমগ্র দাবি দাঁড়াইয়া আছে দুইটি অনুমানের উপর: প্রথমত ১৯৩৪ সালের কথিত পত্তন, এবং দ্বিতীয়ত ১৯৬৯ সালের কথিত ১১৮১ নং Misc Case। অথচ বিচারিক নথিতে মূল পাট্টা বা কবুলিয়ত নাই, এবং কথিত Misc Case-এর আরজি, রায়, ডিক্রি, আদেশনামা বা সইমোহরি কপি — কিছুই দাখিল করা হয় নাই। এমনকি বিবাদীরা মূল রেকর্ডও তলব করান নাই। মূল বিচারিক আদেশ যেখানে অপ্রমাণিত, সেখানে সহকারী কমিশনার (ভূমি) অফিসের একটি ব্যাখ্যাহীন মার্জিন নোট নিজে থেকে স্বত্ব সৃষ্টি বা প্রমাণ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৪. চতুর্থ মিনিট (The Fatal Contradiction — 1975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ভলিউম ও জেরায় ১ দাগ, কিন্তু নিজেদের দলিলে ৬ দাগ? এটি একটি গুরুতর দালিলিক স্ববিরোধিতা, যা বিবাদীদের কথিত সংশোধনের ভিত্তিকে সম্পূর্ণরূপে ধ্বংস করে।*</w:t>
      </w:r>
    </w:p>
    <w:p>
      <w:r>
        <w:rPr>
          <w:rFonts w:ascii="Kalpurush" w:cs="Kalpurush" w:eastAsia="Kalpurush" w:hAnsi="Kalpurush"/>
        </w:rPr>
        <w:t xml:space="preserve"/>
      </w:r>
    </w:p>
    <w:p>
      <w:r>
        <w:rPr>
          <w:rFonts w:ascii="Kalpurush" w:cs="Kalpurush" w:eastAsia="Kalpurush" w:hAnsi="Kalpurush"/>
          <w:b/>
          <w:bCs/>
          <w:sz w:val="20"/>
          <w:szCs w:val="20"/>
        </w:rPr>
        <w:t xml:space="preserve">৫. পঞ্চম মিনিট (The Trial Court Errors &amp; Prayer):</w:t>
      </w:r>
    </w:p>
    <w:p>
      <w:pPr>
        <w:ind w:left="720"/>
      </w:pPr>
      <w:r>
        <w:rPr>
          <w:rFonts w:ascii="Kalpurush" w:cs="Kalpurush" w:eastAsia="Kalpurush" w:hAnsi="Kalpurush"/>
          <w:i/>
          <w:iCs/>
          <w:sz w:val="20"/>
          <w:szCs w:val="20"/>
        </w:rPr>
        <w:t xml:space="preserve">*বিজ্ঞ বিচারিক আদালত চারটি মারাত্মক আইনি ভুল করিয়াছেন: (১) মূল প্রজা স্বত্বের দালিলিক প্রমাণ ছাড়াই অনুমান গ্রহণ করিয়াছেন, (২) অপ্রমাণিত Misc Case-এর আইনি ফলাফল প্রতিষ্ঠিত ধরে নিয়েছেন, (৩) সহকারী কমিশনার (ভূমি) অফিসের অধীনস্থ ভলিউম নোটকে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আদালতের সদয় অনুমতিক্রমে এখন আমি প্রতিটি যুক্তি প্রাসঙ্গিক আইনি নজিরের উদ্ধৃতিসহ বিস্তারিত পেশ করিতেছি।"*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১ম যুক্তি: SA ২৩৮ নং খতিয়ান এবং আইনের সংবিধিবদ্ধ অনুমান (Statutory Presumption)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*বর্তমান মামলার বিচারিক সূচনা বিন্দু (Starting Point) হইল রাষ্ট্রের চূড়ান্তভাবে প্রকাশিত SA ২৩৮ নং খতিয়ান (প্রদর্শনী-৪)।*</w:t>
      </w:r>
    </w:p>
    <w:p>
      <w:r>
        <w:rPr>
          <w:rFonts w:ascii="Kalpurush" w:cs="Kalpurush" w:eastAsia="Kalpurush" w:hAnsi="Kalpurush"/>
        </w:rPr>
        <w:t xml:space="preserve"/>
      </w:r>
    </w:p>
    <w:p>
      <w:r>
        <w:rPr>
          <w:rFonts w:ascii="Kalpurush" w:cs="Kalpurush" w:eastAsia="Kalpurush" w:hAnsi="Kalpurush"/>
          <w:sz w:val="20"/>
          <w:szCs w:val="20"/>
        </w:rPr>
        <w:t xml:space="preserve">*State Acquisition and Tenancy Act, 1950-এর Section 144A অনুযায়ী চূড়ান্তভাবে প্রকাশিত খতিয়ানের পেছনে সংবিধিবদ্ধ নির্ভুলতার অনুমান (Statutory Presumption of Correctness) বিদ্যমান। বাদীপক্ষ জেলা রেকর্ড রুমের সইমোহরি কপি দাখিল করিয়া স্বত্বের প্রাথমিক দালিলিক ভিত্তি সম্পূর্ণরূপে প্রতিষ্ঠিত করিয়াছে।*</w:t>
      </w:r>
    </w:p>
    <w:p>
      <w:r>
        <w:rPr>
          <w:rFonts w:ascii="Kalpurush" w:cs="Kalpurush" w:eastAsia="Kalpurush" w:hAnsi="Kalpurush"/>
        </w:rPr>
        <w:t xml:space="preserve"/>
      </w:r>
    </w:p>
    <w:p>
      <w:r>
        <w:rPr>
          <w:rFonts w:ascii="Kalpurush" w:cs="Kalpurush" w:eastAsia="Kalpurush" w:hAnsi="Kalpurush"/>
          <w:sz w:val="20"/>
          <w:szCs w:val="20"/>
        </w:rPr>
        <w:t xml:space="preserve">*এখানে মহামান্য হাইকোর্ট বিভাগের সুপ্রতিষ্ঠিত নজির উদ্ধৃত করিতেছি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Assistant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r>
        <w:rPr>
          <w:rFonts w:ascii="Kalpurush" w:cs="Kalpurush" w:eastAsia="Kalpurush" w:hAnsi="Kalpurush"/>
          <w:sz w:val="20"/>
          <w:szCs w:val="20"/>
        </w:rPr>
        <w:t xml:space="preserve">*একইভাবে মহামান্য সুপ্রিম কোর্টের আপীল বিভাগ সিদ্ধান্ত দিয়াছেন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*"Records of rights prepared under the State Acquisition and Tenancy Act carry a statutory presumption of correctness which must be rebutted by positive and reliable evidence by the party asserting otherwise."*</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 আইনের সঠিক নীতি হইল:*</w:t>
      </w:r>
    </w:p>
    <w:p>
      <w:pPr>
        <w:ind w:left="720"/>
      </w:pPr>
      <w:r>
        <w:rPr>
          <w:rFonts w:ascii="Kalpurush" w:cs="Kalpurush" w:eastAsia="Kalpurush" w:hAnsi="Kalpurush"/>
          <w:b/>
          <w:bCs/>
          <w:i/>
          <w:iCs/>
          <w:sz w:val="20"/>
          <w:szCs w:val="20"/>
        </w:rPr>
        <w:t xml:space="preserve">'SA 238 is presumptively correct; it is rebuttable, but it must be rebutted by evidence — not merely by unproved assertion.'</w:t>
      </w:r>
    </w:p>
    <w:p>
      <w:r>
        <w:rPr>
          <w:rFonts w:ascii="Kalpurush" w:cs="Kalpurush" w:eastAsia="Kalpurush" w:hAnsi="Kalpurush"/>
        </w:rPr>
        <w:t xml:space="preserve"/>
      </w:r>
    </w:p>
    <w:p>
      <w:r>
        <w:rPr>
          <w:rFonts w:ascii="Kalpurush" w:cs="Kalpurush" w:eastAsia="Kalpurush" w:hAnsi="Kalpurush"/>
          <w:sz w:val="20"/>
          <w:szCs w:val="20"/>
        </w:rPr>
        <w:t xml:space="preserve">*বিবাদীপক্ষ যদি দাবি করে যে এই খতিয়ান ভুল বা পরিবর্তিত হইয়াছে, তবে সেই সংশোধনের সুনির্দিষ্ট আইনি ও দালিলিক প্রমাণ উপস্থাপনের দায়িত্ব সম্পূর্ণ বিবাদীদের।"*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২য় যুক্তি: ১৯৫৭ সালের দলিল (Deed No. 2398/1957) — সমসাময়িক দালিলিক সমর্থন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*আমাদের পক্ষে দাখিলকৃত ২৩৯৮/১৯৫৭ নং রেজিস্ট্রিকৃত দলিলটি (প্রদর্শনী-২) কোনো SA পরবর্তী নতুন স্বত্ব সৃষ্টির দাবি নহে; বরং ইহা SA অপারেশন চলাকালীন সময়ের একটি সমসাময়িক রেজিস্ট্রিকৃত দলিল (Contemporaneous Documentary Corroboration)।*</w:t>
      </w:r>
    </w:p>
    <w:p>
      <w:r>
        <w:rPr>
          <w:rFonts w:ascii="Kalpurush" w:cs="Kalpurush" w:eastAsia="Kalpurush" w:hAnsi="Kalpurush"/>
        </w:rPr>
        <w:t xml:space="preserve"/>
      </w:r>
    </w:p>
    <w:p>
      <w:r>
        <w:rPr>
          <w:rFonts w:ascii="Kalpurush" w:cs="Kalpurush" w:eastAsia="Kalpurush" w:hAnsi="Kalpurush"/>
          <w:sz w:val="20"/>
          <w:szCs w:val="20"/>
        </w:rPr>
        <w:t xml:space="preserve">*উক্ত দলিলে আব্দুল আলী নিজ নামে সংশ্লিষ্ট মৌজায় জমি ক্রয় করেন এবং উক্ত দলিলভুক্ত সম্পত্তি পরবর্তীতে SA ২৩৮ নং খতিয়ানের অন্তর্ভুক্ত হয়। এই দলিলটি ঐতিহাসিকভাবে প্রমাণ করে যে আব্দুল আলী উক্ত মৌজায় প্রকাশ্যে স্বীয় নামে সম্পত্তি লেনদেন ও ভোগদখল করিতেছিলেন এবং তাঁহার এই ভূমিসম্পর্কই রাষ্ট্রের SA ২৩৮ খতিয়ানে সঠিকভাবে প্রতিফলিত হইয়াছে।*</w:t>
      </w:r>
    </w:p>
    <w:p>
      <w:r>
        <w:rPr>
          <w:rFonts w:ascii="Kalpurush" w:cs="Kalpurush" w:eastAsia="Kalpurush" w:hAnsi="Kalpurush"/>
        </w:rPr>
        <w:t xml:space="preserve"/>
      </w:r>
    </w:p>
    <w:p>
      <w:r>
        <w:rPr>
          <w:rFonts w:ascii="Kalpurush" w:cs="Kalpurush" w:eastAsia="Kalpurush" w:hAnsi="Kalpurush"/>
          <w:sz w:val="20"/>
          <w:szCs w:val="20"/>
        </w:rPr>
        <w:t xml:space="preserve">*উক্ত ক্রয়ে বা ভোগদখলে সোনাভানু বা বিবাদীদের কোনো দাবি বা অংশ কখনোই ছিল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৩য় যুক্তি: আব্দুল করিমের কথিত ১৯৩৪ সালের Root Tenancy দালিলিকভাবে অপ্রমাণিত</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মামলার প্রথম ধাপ হইল: আব্দুল করিম ১৯৩৪ সালে জমিদারি পত্তন পাইয়াছিলেন। কিন্তু এই দাবির সপক্ষে বিবাদীপক্ষ কোনো প্রাথমিক দালিলিক প্রমাণ আদালতে দাখিল করিতে পারে নাই।*</w:t>
      </w:r>
    </w:p>
    <w:p>
      <w:r>
        <w:rPr>
          <w:rFonts w:ascii="Kalpurush" w:cs="Kalpurush" w:eastAsia="Kalpurush" w:hAnsi="Kalpurush"/>
        </w:rPr>
        <w:t xml:space="preserve"/>
      </w:r>
    </w:p>
    <w:p>
      <w:r>
        <w:rPr>
          <w:rFonts w:ascii="Kalpurush" w:cs="Kalpurush" w:eastAsia="Kalpurush" w:hAnsi="Kalpurush"/>
          <w:sz w:val="20"/>
          <w:szCs w:val="20"/>
        </w:rPr>
        <w:t xml:space="preserve">*নালিশী জমির পূর্ববর্তী CS ২ নং খতিয়ানে আব্দুল করিমের কোনো নাম নাই; জমিটি ঢাকা নবাব এস্টেটের খাস জমি হিসেবে লিপিত ছিল। জমিদারি আমলে ঢাকা নবাব এস্টেট ১৯০৭ সাল হইতে Court of Wards-এর অধীনে পরিচালিত হইত। Court of Wards-এর আইন অনুযায়ী চিফ ম্যানেজারের লিখিত অনুমোদন ব্যতীত কোনো পত্তন বা স্বত্ব সৃষ্টি আইনত অসম্ভব।*</w:t>
      </w:r>
    </w:p>
    <w:p>
      <w:r>
        <w:rPr>
          <w:rFonts w:ascii="Kalpurush" w:cs="Kalpurush" w:eastAsia="Kalpurush" w:hAnsi="Kalpurush"/>
        </w:rPr>
        <w:t xml:space="preserve"/>
      </w:r>
    </w:p>
    <w:p>
      <w:r>
        <w:rPr>
          <w:rFonts w:ascii="Kalpurush" w:cs="Kalpurush" w:eastAsia="Kalpurush" w:hAnsi="Kalpurush"/>
          <w:sz w:val="20"/>
          <w:szCs w:val="20"/>
        </w:rPr>
        <w:t xml:space="preserve">*মহামান্য আপীল বিভাগের সুস্পষ্ট সিদ্ধান্ত উদ্ধৃত করিতেছি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written approval of the Chief Manager are void ab initio and confer no title."*</w:t>
      </w:r>
    </w:p>
    <w:p>
      <w:r>
        <w:rPr>
          <w:rFonts w:ascii="Kalpurush" w:cs="Kalpurush" w:eastAsia="Kalpurush" w:hAnsi="Kalpurush"/>
        </w:rPr>
        <w:t xml:space="preserve"/>
      </w:r>
    </w:p>
    <w:p>
      <w:r>
        <w:rPr>
          <w:rFonts w:ascii="Kalpurush" w:cs="Kalpurush" w:eastAsia="Kalpurush" w:hAnsi="Kalpurush"/>
          <w:sz w:val="20"/>
          <w:szCs w:val="20"/>
        </w:rPr>
        <w:t xml:space="preserve">*একইভাবে মহামান্য হাইকোর্ট বিভাগ সিদ্ধান্ত দিয়াছেন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Noor Mohammad Khan vs. Government, 42 DLR (HD) 434:</w:t>
      </w:r>
    </w:p>
    <w:p>
      <w:pPr>
        <w:ind w:left="720"/>
      </w:pPr>
      <w:r>
        <w:rPr>
          <w:rFonts w:ascii="Kalpurush" w:cs="Kalpurush" w:eastAsia="Kalpurush" w:hAnsi="Kalpurush"/>
          <w:i/>
          <w:iCs/>
          <w:sz w:val="20"/>
          <w:szCs w:val="20"/>
        </w:rPr>
        <w:t xml:space="preserve">*"Salami receipts issued without Chief Manager's approval cannot create tenancy rights over Court of Wards lands."*</w:t>
      </w:r>
    </w:p>
    <w:p>
      <w:r>
        <w:rPr>
          <w:rFonts w:ascii="Kalpurush" w:cs="Kalpurush" w:eastAsia="Kalpurush" w:hAnsi="Kalpurush"/>
        </w:rPr>
        <w:t xml:space="preserve"/>
      </w:r>
    </w:p>
    <w:p>
      <w:r>
        <w:rPr>
          <w:rFonts w:ascii="Kalpurush" w:cs="Kalpurush" w:eastAsia="Kalpurush" w:hAnsi="Kalpurush"/>
          <w:sz w:val="20"/>
          <w:szCs w:val="20"/>
        </w:rPr>
        <w:t xml:space="preserve">*অধিকন্তু, রাষ্ট্রীয় অধিগ্রহণের পর কোনো অনিবন্ধিত পত্তনের দাবি কার্যকর থাকে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r>
        <w:rPr>
          <w:rFonts w:ascii="Kalpurush" w:cs="Kalpurush" w:eastAsia="Kalpurush" w:hAnsi="Kalpurush"/>
        </w:rPr>
        <w:t xml:space="preserve"/>
      </w:r>
    </w:p>
    <w:p>
      <w:r>
        <w:rPr>
          <w:rFonts w:ascii="Kalpurush" w:cs="Kalpurush" w:eastAsia="Kalpurush" w:hAnsi="Kalpurush"/>
          <w:sz w:val="20"/>
          <w:szCs w:val="20"/>
        </w:rPr>
        <w:t xml:space="preserve">*এবং প্রজাস্বত্ব নির্ধারণে উত্তরাধিকার নহে, রাষ্ট্রীয় স্বীকৃতিই মূল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p>
    <w:p>
      <w:pPr>
        <w:ind w:left="720"/>
      </w:pPr>
      <w:r>
        <w:rPr>
          <w:rFonts w:ascii="Kalpurush" w:cs="Kalpurush" w:eastAsia="Kalpurush" w:hAnsi="Kalpurush"/>
          <w:i/>
          <w:iCs/>
          <w:sz w:val="20"/>
          <w:szCs w:val="20"/>
        </w:rPr>
        <w:t xml:space="preserve">*"Tenancy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 যে মূল প্রজাস্বত্বের কোনো পাট্টা, কবুলিয়ত বা প্রাতিষ্ঠানিক ভিত্তি নাই, কেবল মুখের কথায় সেই অপ্রমাণিত পত্তন হইতে উত্তরাধিকার স্বত্ব দাবি করা আইনসম্মত নহে।"*</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৪র্থ যুক্তি: কথিত Misc Case 1181/1969 এবং AC Land ভলিউম নোটের সম্পূর্ণ অসারতা</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 দাবি করিতেছে যে ১৯৬৯ সালের ১১৮১ নং Misc Case-এর মাধ্যমে SA রেকর্ড সংশোধন হইয়াছিল। কিন্তু এই কথিত আদেশের কোনো আইনি ভিত্তি আদালতে দাখিল হয় নাই।*</w:t>
      </w:r>
    </w:p>
    <w:p>
      <w:r>
        <w:rPr>
          <w:rFonts w:ascii="Kalpurush" w:cs="Kalpurush" w:eastAsia="Kalpurush" w:hAnsi="Kalpurush"/>
        </w:rPr>
        <w:t xml:space="preserve"/>
      </w:r>
    </w:p>
    <w:p>
      <w:r>
        <w:rPr>
          <w:rFonts w:ascii="Kalpurush" w:cs="Kalpurush" w:eastAsia="Kalpurush" w:hAnsi="Kalpurush"/>
          <w:sz w:val="20"/>
          <w:szCs w:val="20"/>
        </w:rPr>
        <w:t xml:space="preserve">*আদালতে বিবাদীপক্ষ দাখিল করিতে পারে নাই —*</w:t>
      </w:r>
    </w:p>
    <w:p>
      <w:r>
        <w:rPr>
          <w:rFonts w:ascii="Kalpurush" w:cs="Kalpurush" w:eastAsia="Kalpurush" w:hAnsi="Kalpurush"/>
          <w:sz w:val="20"/>
          <w:szCs w:val="20"/>
        </w:rPr>
        <w:t xml:space="preserve">*১. কোনো আরজি বা দরখাস্ত (Application);*</w:t>
      </w:r>
    </w:p>
    <w:p>
      <w:r>
        <w:rPr>
          <w:rFonts w:ascii="Kalpurush" w:cs="Kalpurush" w:eastAsia="Kalpurush" w:hAnsi="Kalpurush"/>
          <w:sz w:val="20"/>
          <w:szCs w:val="20"/>
        </w:rPr>
        <w:t xml:space="preserve">*২. কোনো আদেশনামা (Order Sheet);*</w:t>
      </w:r>
    </w:p>
    <w:p>
      <w:r>
        <w:rPr>
          <w:rFonts w:ascii="Kalpurush" w:cs="Kalpurush" w:eastAsia="Kalpurush" w:hAnsi="Kalpurush"/>
          <w:sz w:val="20"/>
          <w:szCs w:val="20"/>
        </w:rPr>
        <w:t xml:space="preserve">*৩. কোনো রায় (Judgment);*</w:t>
      </w:r>
    </w:p>
    <w:p>
      <w:r>
        <w:rPr>
          <w:rFonts w:ascii="Kalpurush" w:cs="Kalpurush" w:eastAsia="Kalpurush" w:hAnsi="Kalpurush"/>
          <w:sz w:val="20"/>
          <w:szCs w:val="20"/>
        </w:rPr>
        <w:t xml:space="preserve">*৪. কোনো ডিক্রি বা চূড়ান্ত আদেশ (Final Order);*</w:t>
      </w:r>
    </w:p>
    <w:p>
      <w:r>
        <w:rPr>
          <w:rFonts w:ascii="Kalpurush" w:cs="Kalpurush" w:eastAsia="Kalpurush" w:hAnsi="Kalpurush"/>
          <w:sz w:val="20"/>
          <w:szCs w:val="20"/>
        </w:rPr>
        <w:t xml:space="preserve">*৫. কোনো সইমোহরি নকল (Certified Copy);*</w:t>
      </w:r>
    </w:p>
    <w:p>
      <w:r>
        <w:rPr>
          <w:rFonts w:ascii="Kalpurush" w:cs="Kalpurush" w:eastAsia="Kalpurush" w:hAnsi="Kalpurush"/>
          <w:sz w:val="20"/>
          <w:szCs w:val="20"/>
        </w:rPr>
        <w:t xml:space="preserve">*৬. এমনকি বিবাদীপক্ষ আদালত মারফত মূল নথি তলবের কোনো উদ্যোগও গ্রহণ করে নাই।*</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সাক্ষ্য আইনের সাধারণ যুক্তি (Evidentiary Logic) হইল —*</w:t>
      </w:r>
    </w:p>
    <w:p>
      <w:pPr>
        <w:ind w:left="720"/>
      </w:pPr>
      <w:r>
        <w:rPr>
          <w:rFonts w:ascii="Kalpurush" w:cs="Kalpurush" w:eastAsia="Kalpurush" w:hAnsi="Kalpurush"/>
          <w:b/>
          <w:bCs/>
          <w:i/>
          <w:iCs/>
          <w:sz w:val="20"/>
          <w:szCs w:val="20"/>
        </w:rPr>
        <w:t xml:space="preserve">'We are not asking the Court to assume that the volume entry is false. We are asking a simpler question: what is the legal source of that entry? If the alleged parent order is not proved, the consequential entry cannot, by itself, prove the substantive right supposedly created by that order.'</w:t>
      </w:r>
    </w:p>
    <w:p>
      <w:r>
        <w:rPr>
          <w:rFonts w:ascii="Kalpurush" w:cs="Kalpurush" w:eastAsia="Kalpurush" w:hAnsi="Kalpurush"/>
        </w:rPr>
        <w:t xml:space="preserve"/>
      </w:r>
    </w:p>
    <w:p>
      <w:r>
        <w:rPr>
          <w:rFonts w:ascii="Kalpurush" w:cs="Kalpurush" w:eastAsia="Kalpurush" w:hAnsi="Kalpurush"/>
          <w:sz w:val="20"/>
          <w:szCs w:val="20"/>
        </w:rPr>
        <w:t xml:space="preserve">*সহকারী কমিশনার (ভূমি) অফিসের ভলিউমে ভিন্ন কালিতে লেখা একটি মার্জিন নোট মূল আদেশের বিকল্প হইতে পারে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mutation entry carries no statutory presumption of correctness without the underlying parent order."*</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invalid and legally ineffective."*</w:t>
      </w:r>
    </w:p>
    <w:p>
      <w:r>
        <w:rPr>
          <w:rFonts w:ascii="Kalpurush" w:cs="Kalpurush" w:eastAsia="Kalpurush" w:hAnsi="Kalpurush"/>
        </w:rPr>
        <w:t xml:space="preserve"/>
      </w:r>
    </w:p>
    <w:p>
      <w:r>
        <w:rPr>
          <w:rFonts w:ascii="Kalpurush" w:cs="Kalpurush" w:eastAsia="Kalpurush" w:hAnsi="Kalpurush"/>
          <w:sz w:val="20"/>
          <w:szCs w:val="20"/>
        </w:rPr>
        <w:t xml:space="preserve">*তাছাড়া, মিস মোকদ্দমার সংক্ষিপ্ত প্রক্রিয়ায় কারো দেওয়ানি স্বত্ব পরিবর্তন করা যায়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r>
        <w:rPr>
          <w:rFonts w:ascii="Kalpurush" w:cs="Kalpurush" w:eastAsia="Kalpurush" w:hAnsi="Kalpurush"/>
        </w:rPr>
        <w:t xml:space="preserve"/>
      </w:r>
    </w:p>
    <w:p>
      <w:r>
        <w:rPr>
          <w:rFonts w:ascii="Kalpurush" w:cs="Kalpurush" w:eastAsia="Kalpurush" w:hAnsi="Kalpurush"/>
          <w:sz w:val="20"/>
          <w:szCs w:val="20"/>
        </w:rPr>
        <w:t xml:space="preserve">*এবং আপীল বিভাগের ৫ বিচারপতির বৃহত্তর বেঞ্চের সিদ্ধান্ত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w:t>
      </w:r>
    </w:p>
    <w:p>
      <w:pPr>
        <w:ind w:left="720"/>
      </w:pPr>
      <w:r>
        <w:rPr>
          <w:rFonts w:ascii="Kalpurush" w:cs="Kalpurush" w:eastAsia="Kalpurush" w:hAnsi="Kalpurush"/>
          <w:i/>
          <w:iCs/>
          <w:sz w:val="20"/>
          <w:szCs w:val="20"/>
        </w:rPr>
        <w:t xml:space="preserve">*"An administrative ROR entry or procured mutation note cannot override an established title or statutory presumption attached to a finally published record."*</w:t>
      </w:r>
    </w:p>
    <w:p>
      <w:r>
        <w:rPr>
          <w:rFonts w:ascii="Kalpurush" w:cs="Kalpurush" w:eastAsia="Kalpurush" w:hAnsi="Kalpurush"/>
        </w:rPr>
        <w:t xml:space="preserve"/>
      </w:r>
    </w:p>
    <w:p>
      <w:r>
        <w:rPr>
          <w:rFonts w:ascii="Kalpurush" w:cs="Kalpurush" w:eastAsia="Kalpurush" w:hAnsi="Kalpurush"/>
          <w:sz w:val="20"/>
          <w:szCs w:val="20"/>
        </w:rPr>
        <w:t xml:space="preserve">*বিবাদীদের সাক্ষী DW-4 জেরায় নিজেই স্বীকার করিয়াছেন যে তিনি এন্ট্রির লেখককে চেনেন না, মূল আদেশ দেখাতে পারেন না এবং এন্ট্রিটি ভিন্ন কালিতে লেখা।*</w:t>
      </w:r>
    </w:p>
    <w:p>
      <w:r>
        <w:rPr>
          <w:rFonts w:ascii="Kalpurush" w:cs="Kalpurush" w:eastAsia="Kalpurush" w:hAnsi="Kalpurush"/>
        </w:rPr>
        <w:t xml:space="preserve"/>
      </w:r>
    </w:p>
    <w:p>
      <w:r>
        <w:rPr>
          <w:rFonts w:ascii="Kalpurush" w:cs="Kalpurush" w:eastAsia="Kalpurush" w:hAnsi="Kalpurush"/>
          <w:sz w:val="20"/>
          <w:szCs w:val="20"/>
        </w:rPr>
        <w:t xml:space="preserve">*অতএব, Parent Order ছাড়া এই ভলিউম নোট আইনত সম্পূর্ণ মূল্যহীন।"*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৫ম যুক্তি: জেলা রেকর্ড রুমের ৫০ বছরের নীরবতা (The Silence of the Record Room)</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সত্যি কোনো বৈধ সংশোধন হইয়া থাকিত, তবে অর্ধশতাব্দী পরেও জেলা প্রশাসকের সেন্ট্রাল রেকর্ড রুমের মূল SA ২৩৮ খতিয়ান আব্দুল আলীর নামে অক্ষত রহিয়াছে কেন?*</w:t>
      </w:r>
    </w:p>
    <w:p>
      <w:r>
        <w:rPr>
          <w:rFonts w:ascii="Kalpurush" w:cs="Kalpurush" w:eastAsia="Kalpurush" w:hAnsi="Kalpurush"/>
        </w:rPr>
        <w:t xml:space="preserve"/>
      </w:r>
    </w:p>
    <w:p>
      <w:r>
        <w:rPr>
          <w:rFonts w:ascii="Kalpurush" w:cs="Kalpurush" w:eastAsia="Kalpurush" w:hAnsi="Kalpurush"/>
          <w:sz w:val="20"/>
          <w:szCs w:val="20"/>
        </w:rPr>
        <w:t xml:space="preserve">*আমরা আদালতসমক্ষে ৪টি উত্তরহীন প্রাতিষ্ঠানিক প্রশ্ন পেশ করিতেছি —*</w:t>
      </w:r>
    </w:p>
    <w:p>
      <w:r>
        <w:rPr>
          <w:rFonts w:ascii="Kalpurush" w:cs="Kalpurush" w:eastAsia="Kalpurush" w:hAnsi="Kalpurush"/>
          <w:sz w:val="20"/>
          <w:szCs w:val="20"/>
        </w:rPr>
        <w:t xml:space="preserve">*১. জেলা রেকর্ড রুমের মূল SA খতিয়ান আজও অপরিবর্তিত কেন?*</w:t>
      </w:r>
    </w:p>
    <w:p>
      <w:r>
        <w:rPr>
          <w:rFonts w:ascii="Kalpurush" w:cs="Kalpurush" w:eastAsia="Kalpurush" w:hAnsi="Kalpurush"/>
          <w:sz w:val="20"/>
          <w:szCs w:val="20"/>
        </w:rPr>
        <w:t xml:space="preserve">*২. Register of Alterations (সংশোধন রেজিস্টার)-এ কোনো এন্ট্রি নাই কেন?*</w:t>
      </w:r>
    </w:p>
    <w:p>
      <w:r>
        <w:rPr>
          <w:rFonts w:ascii="Kalpurush" w:cs="Kalpurush" w:eastAsia="Kalpurush" w:hAnsi="Kalpurush"/>
          <w:sz w:val="20"/>
          <w:szCs w:val="20"/>
        </w:rPr>
        <w:t xml:space="preserve">*৩. কথিত সংশোধিত খতিয়ানের Certified Copy কোথায়?*</w:t>
      </w:r>
    </w:p>
    <w:p>
      <w:r>
        <w:rPr>
          <w:rFonts w:ascii="Kalpurush" w:cs="Kalpurush" w:eastAsia="Kalpurush" w:hAnsi="Kalpurush"/>
          <w:sz w:val="20"/>
          <w:szCs w:val="20"/>
        </w:rPr>
        <w:t xml:space="preserve">*৪. কথিত সংশোধনে সোনাভানুর অন্য দুই বোন (বেলুয়া ও কমলা)-র নাম কেন বাদ পড়িল?*</w:t>
      </w:r>
    </w:p>
    <w:p>
      <w:r>
        <w:rPr>
          <w:rFonts w:ascii="Kalpurush" w:cs="Kalpurush" w:eastAsia="Kalpurush" w:hAnsi="Kalpurush"/>
        </w:rPr>
        <w:t xml:space="preserve"/>
      </w:r>
    </w:p>
    <w:p>
      <w:r>
        <w:rPr>
          <w:rFonts w:ascii="Kalpurush" w:cs="Kalpurush" w:eastAsia="Kalpurush" w:hAnsi="Kalpurush"/>
          <w:sz w:val="20"/>
          <w:szCs w:val="20"/>
        </w:rPr>
        <w:t xml:space="preserve">*এই প্রশ্নগুলোর উত্তর ব্যতিরেকে একটি অভিভাবকহীন ভলিউম নোটের উপর নির্ভর করা বিচারিক নীতিবিরুদ্ধ।"*</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৬ষ্ঠ যুক্তি: বিবাদীদের ১৯৭৫ সালের দলিল (Deed No. 3596/1975) দ্বারা প্রতিরক্ষার আত্মঘাতী খণ্ডন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সবচেয়ে অকাট্য ও বিধ্বংসী দালিলিক প্রমাণটি বিবাদীদের নিজেদের দাখিলকৃত ৩৫৯৬/১৯৭৫ নং রেজিস্ট্রিকৃত দলিল (Exhibit Kha-1)।*</w:t>
      </w:r>
    </w:p>
    <w:p>
      <w:r>
        <w:rPr>
          <w:rFonts w:ascii="Kalpurush" w:cs="Kalpurush" w:eastAsia="Kalpurush" w:hAnsi="Kalpurush"/>
        </w:rPr>
        <w:t xml:space="preserve"/>
      </w:r>
    </w:p>
    <w:p>
      <w:r>
        <w:rPr>
          <w:rFonts w:ascii="Kalpurush" w:cs="Kalpurush" w:eastAsia="Kalpurush" w:hAnsi="Kalpurush"/>
          <w:sz w:val="20"/>
          <w:szCs w:val="20"/>
        </w:rPr>
        <w:t xml:space="preserve">*বিবাদীদের তলবকৃত AC Land ভলিউমে এবং সাক্ষীদের জেরায় বলা হইয়াছে যে ১৯৬৯ সালের সংশোধনে SA ২৩৮ খতিয়ানে দাগ ছিল মাত্র </w:t>
      </w:r>
      <w:r>
        <w:rPr>
          <w:rFonts w:ascii="Kalpurush" w:cs="Kalpurush" w:eastAsia="Kalpurush" w:hAnsi="Kalpurush"/>
          <w:b/>
          <w:bCs/>
          <w:sz w:val="20"/>
          <w:szCs w:val="20"/>
        </w:rPr>
        <w:t xml:space="preserve">১টি (১২৫৯ দাগ)</w:t>
      </w:r>
      <w:r>
        <w:rPr>
          <w:rFonts w:ascii="Kalpurush" w:cs="Kalpurush" w:eastAsia="Kalpurush" w:hAnsi="Kalpurush"/>
          <w:sz w:val="20"/>
          <w:szCs w:val="20"/>
        </w:rPr>
        <w:t xml:space="preserve"> — তাও দাগের মোট আয়তনের চেয়ে ৯ শতাংশ অতিরিক্ত ভুল পরিমাপে।*</w:t>
      </w:r>
    </w:p>
    <w:p>
      <w:r>
        <w:rPr>
          <w:rFonts w:ascii="Kalpurush" w:cs="Kalpurush" w:eastAsia="Kalpurush" w:hAnsi="Kalpurush"/>
        </w:rPr>
        <w:t xml:space="preserve"/>
      </w:r>
    </w:p>
    <w:p>
      <w:r>
        <w:rPr>
          <w:rFonts w:ascii="Kalpurush" w:cs="Kalpurush" w:eastAsia="Kalpurush" w:hAnsi="Kalpurush"/>
          <w:sz w:val="20"/>
          <w:szCs w:val="20"/>
        </w:rPr>
        <w:t xml:space="preserve">*অথচ মাত্র ৬ বছর পরে, তাহাদের নিজেদেরই সম্পাদিত ও রেজিস্ট্রিকৃত ৩৫৯৬/১৯৭৫ নং দলিলে SA ২৩৮ খতিয়ানের অধীনে ১টি নহে, বরং </w:t>
      </w:r>
      <w:r>
        <w:rPr>
          <w:rFonts w:ascii="Kalpurush" w:cs="Kalpurush" w:eastAsia="Kalpurush" w:hAnsi="Kalpurush"/>
          <w:b/>
          <w:bCs/>
          <w:sz w:val="20"/>
          <w:szCs w:val="20"/>
        </w:rPr>
        <w:t xml:space="preserve">৬টি দাগের (১২৫৯, ৭৫, ৩, ৫৪, ১২৫২ এবং ১২২০)</w:t>
      </w:r>
      <w:r>
        <w:rPr>
          <w:rFonts w:ascii="Kalpurush" w:cs="Kalpurush" w:eastAsia="Kalpurush" w:hAnsi="Kalpurush"/>
          <w:sz w:val="20"/>
          <w:szCs w:val="20"/>
        </w:rPr>
        <w:t xml:space="preserve"> জমি হস্তান্তর করা হইয়াছে!*</w:t>
      </w:r>
    </w:p>
    <w:p>
      <w:r>
        <w:rPr>
          <w:rFonts w:ascii="Kalpurush" w:cs="Kalpurush" w:eastAsia="Kalpurush" w:hAnsi="Kalpurush"/>
        </w:rPr>
        <w:t xml:space="preserve"/>
      </w:r>
    </w:p>
    <w:p>
      <w:r>
        <w:rPr>
          <w:rFonts w:ascii="Kalpurush" w:cs="Kalpurush" w:eastAsia="Kalpurush" w:hAnsi="Kalpurush"/>
          <w:sz w:val="20"/>
          <w:szCs w:val="20"/>
        </w:rPr>
        <w:t xml:space="preserve">*আদালতের সামনে আমাদের বিনীত প্রশ্ন:*</w:t>
      </w:r>
    </w:p>
    <w:p>
      <w:pPr>
        <w:ind w:left="720"/>
      </w:pPr>
      <w:r>
        <w:rPr>
          <w:rFonts w:ascii="Kalpurush" w:cs="Kalpurush" w:eastAsia="Kalpurush" w:hAnsi="Kalpurush"/>
          <w:b/>
          <w:bCs/>
          <w:i/>
          <w:iCs/>
          <w:sz w:val="20"/>
          <w:szCs w:val="20"/>
        </w:rPr>
        <w:t xml:space="preserve">'If the alleged 1969 correction had reduced the SA 238 holding to one dag, why does the respondents' own registered deed of 1975 describe six dags under the same khatian?'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এটি কোনো অনুমানের বিষয় নহে; এটি একটি চরম দালিলিক স্ববিরোধিতা (Material Documentary Contradiction)। Evidence Act-এর Section 17, 18 ও 21 অনুযায়ী নিজের রেজিস্ট্রিকৃত দলিল পক্ষগণের বিরুদ্ধে অখণ্ডনীয় Admission এবং Section 115 অনুযায়ী বিবাদীপক্ষ নিজেদের দলিলের বিপরীতে অবস্থান গ্রহণ করিতে আইনত বারিত (Doctrine of Approbate and Reprobate)।"*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৭ম যুক্তি: প্রমাণের দায় (Burden of Proof) এবং ট্রায়াল কোর্টের নেতিবাচক প্রমাণের ভুল</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প্রমাণের দায় নির্ধারণে মারাত্মক ভুল করিয়াছেন।*</w:t>
      </w:r>
    </w:p>
    <w:p>
      <w:r>
        <w:rPr>
          <w:rFonts w:ascii="Kalpurush" w:cs="Kalpurush" w:eastAsia="Kalpurush" w:hAnsi="Kalpurush"/>
        </w:rPr>
        <w:t xml:space="preserve"/>
      </w:r>
    </w:p>
    <w:p>
      <w:r>
        <w:rPr>
          <w:rFonts w:ascii="Kalpurush" w:cs="Kalpurush" w:eastAsia="Kalpurush" w:hAnsi="Kalpurush"/>
          <w:sz w:val="20"/>
          <w:szCs w:val="20"/>
        </w:rPr>
        <w:t xml:space="preserve">*বাদীপক্ষ সইমোহরি SA ২৩৮ খতিয়ান দাখিল করিয়া প্রমাণের প্রাথমিক দায়িত্ব সম্পূর্ণ পূরণ করিয়াছে। বিবাদীপক্ষ দাবি করিয়াছে যে উক্ত খতিয়ান ১৯৬৯ সালে সংশোধিত হইয়াছে। Evidence Act-এর Section 103 অনুযায়ী এই কথিত সংশোধনের অস্তিত্ব প্রমাণের সম্পূর্ণ দায়ভার বিবাদীদের উপর।*</w:t>
      </w:r>
    </w:p>
    <w:p>
      <w:r>
        <w:rPr>
          <w:rFonts w:ascii="Kalpurush" w:cs="Kalpurush" w:eastAsia="Kalpurush" w:hAnsi="Kalpurush"/>
        </w:rPr>
        <w:t xml:space="preserve"/>
      </w:r>
    </w:p>
    <w:p>
      <w:r>
        <w:rPr>
          <w:rFonts w:ascii="Kalpurush" w:cs="Kalpurush" w:eastAsia="Kalpurush" w:hAnsi="Kalpurush"/>
          <w:sz w:val="20"/>
          <w:szCs w:val="20"/>
        </w:rPr>
        <w:t xml:space="preserve">*মহামান্য আপীল বিভাগের সুস্পষ্ট সিদ্ধান্ত উদ্ধৃত করিতেছি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Azizul Hoque vs. Md. Akbar Ali, 10 BLT (AD) 105:</w:t>
      </w:r>
    </w:p>
    <w:p>
      <w:pPr>
        <w:ind w:left="720"/>
      </w:pPr>
      <w:r>
        <w:rPr>
          <w:rFonts w:ascii="Kalpurush" w:cs="Kalpurush" w:eastAsia="Kalpurush" w:hAnsi="Kalpurush"/>
          <w:i/>
          <w:iCs/>
          <w:sz w:val="20"/>
          <w:szCs w:val="20"/>
        </w:rPr>
        <w:t xml:space="preserve">*"The burden of proving the error in the record of rights lies heavily on the challenging party."*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p>
    <w:p>
      <w:pPr>
        <w:ind w:left="720"/>
      </w:pPr>
      <w:r>
        <w:rPr>
          <w:rFonts w:ascii="Kalpurush" w:cs="Kalpurush" w:eastAsia="Kalpurush" w:hAnsi="Kalpurush"/>
          <w:i/>
          <w:iCs/>
          <w:sz w:val="20"/>
          <w:szCs w:val="20"/>
        </w:rPr>
        <w:t xml:space="preserve">*"A trial court errs in law when it requires the plaintiff to disprove every counter-assertion instead of holding the challenger to their onus."*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Sufia Bewa vs. Md. Aminul Islam, 19 SCOB [2024] HCD 85 (Para 39):</w:t>
      </w:r>
    </w:p>
    <w:p>
      <w:pPr>
        <w:ind w:left="720"/>
      </w:pPr>
      <w:r>
        <w:rPr>
          <w:rFonts w:ascii="Kalpurush" w:cs="Kalpurush" w:eastAsia="Kalpurush" w:hAnsi="Kalpurush"/>
          <w:i/>
          <w:iCs/>
          <w:sz w:val="20"/>
          <w:szCs w:val="20"/>
        </w:rPr>
        <w:t xml:space="preserve">*"বাদীর দাবির সাময়িক দুর্বলতার সুযোগে বিবাদী উপযুক্ত নথিপত্র ছাড়া স্বত্ববান বা মালিক হইতে পারে না।"*</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 উল্টো বাদীর উপর দায়িত্ব চাপাইয়াছেন এমন একটি কথিত ঘটনা অপ্রমাণ (disprove) করিতে, যাহার আইনি অস্তিত্বই বিবাদীরা প্রমাণ করিতে পারে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৮ম যুক্তি: Hotchpot ও পক্ষদোষ (Non-joinder) সংক্রান্ত সঠিক আইনি অবস্থান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 সরকারের খাস জমি বাদ পড়াকে Hotchpot defect এবং সরকারকে পক্ষ না করাকে Non-joinder বলিয়া মামলা খারিজ করিয়াছেন, যাহা সম্পূর্ণ আইনবিরুদ্ধ।*</w:t>
      </w:r>
    </w:p>
    <w:p>
      <w:r>
        <w:rPr>
          <w:rFonts w:ascii="Kalpurush" w:cs="Kalpurush" w:eastAsia="Kalpurush" w:hAnsi="Kalpurush"/>
        </w:rPr>
        <w:t xml:space="preserve"/>
      </w:r>
    </w:p>
    <w:p>
      <w:r>
        <w:rPr>
          <w:rFonts w:ascii="Kalpurush" w:cs="Kalpurush" w:eastAsia="Kalpurush" w:hAnsi="Kalpurush"/>
          <w:sz w:val="20"/>
          <w:szCs w:val="20"/>
        </w:rPr>
        <w:t xml:space="preserve">*১. SA ২৩৮ একটি স্বতন্ত্র ব্যক্তিমালিকানাধীন প্রজাস্বত্ব খতিয়ান। নালিশী ১২৫৯ দাগের সংলগ্ন খাস জমি সরকারের পৃথক খতিয়ানে অবস্থিত। বাদীরা সরকারি জমিতে কোনো অংশ দাবি করেন নাই এবং সরকারের বিরুদ্ধে কোনো প্রতিকার চান নাই। পৃথক খতিয়ানের জমি বাদ দিলে আংশিক বাটোয়ারার কোনো দোষ ঘটে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r>
        <w:rPr>
          <w:rFonts w:ascii="Kalpurush" w:cs="Kalpurush" w:eastAsia="Kalpurush" w:hAnsi="Kalpurush"/>
        </w:rPr>
        <w:t xml:space="preserve"/>
      </w:r>
    </w:p>
    <w:p>
      <w:r>
        <w:rPr>
          <w:rFonts w:ascii="Kalpurush" w:cs="Kalpurush" w:eastAsia="Kalpurush" w:hAnsi="Kalpurush"/>
          <w:sz w:val="20"/>
          <w:szCs w:val="20"/>
        </w:rPr>
        <w:t xml:space="preserve">*২. ব্যক্তিমালিকানাধীন বাটোয়ারা মামলায় সরকার কোনো আবশ্যকীয় পক্ষ নহে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w:t>
      </w:r>
    </w:p>
    <w:p>
      <w:r>
        <w:rPr>
          <w:rFonts w:ascii="Kalpurush" w:cs="Kalpurush" w:eastAsia="Kalpurush" w:hAnsi="Kalpurush"/>
        </w:rPr>
        <w:t xml:space="preserve"/>
      </w:r>
    </w:p>
    <w:p>
      <w:r>
        <w:rPr>
          <w:rFonts w:ascii="Kalpurush" w:cs="Kalpurush" w:eastAsia="Kalpurush" w:hAnsi="Kalpurush"/>
          <w:sz w:val="20"/>
          <w:szCs w:val="20"/>
        </w:rPr>
        <w:t xml:space="preserve">*সরকারি খাস জমি ব্যক্তিগত বাটোয়ারায় অন্তর্ভুক্ত করিলে বরঞ্চ মামলাই অচল হইত (11 MLR (AD) 115; 6 SCOB (2016) AD 11)।"*</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৯ম যুক্তি: ১ নং রেসপন্ডেন্টের (সোলায়মান হোসেন) সোলেনামা</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*১ নং রেসপন্ডেন্ট সোলায়মান হোসেন আব্দুল আলীর বৈধ ওয়ারিশ হিসেবে বাদীপক্ষের সাথে আপোষ বাটোয়ারায় সম্মত হইয়া আদালতে সোলেনামা দাখিল করিয়াছেন (CPC Order XXIII Rule 3)।*</w:t>
      </w:r>
    </w:p>
    <w:p>
      <w:r>
        <w:rPr>
          <w:rFonts w:ascii="Kalpurush" w:cs="Kalpurush" w:eastAsia="Kalpurush" w:hAnsi="Kalpurush"/>
        </w:rPr>
        <w:t xml:space="preserve"/>
      </w:r>
    </w:p>
    <w:p>
      <w:r>
        <w:rPr>
          <w:rFonts w:ascii="Kalpurush" w:cs="Kalpurush" w:eastAsia="Kalpurush" w:hAnsi="Kalpurush"/>
          <w:sz w:val="20"/>
          <w:szCs w:val="20"/>
        </w:rPr>
        <w:t xml:space="preserve">*তাঁহার কোনো বিরোধ নাই। পক্ষান্তরে অন্যান্য বিবাদীরা কোনো সহম বা অংশ দাবি না করিয়া কেবল মামলা খারিজের জন্য অপ্রমাণিত দাবি উত্থাপন করিয়াছেন। প্রকৃত সহ-অংশীদার কখনো বণ্টন বন্ধ করিবার উদ্দেশ্যে অযৌক্তিক আপত্তি তোলে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ট্রায়াল কোর্টের রায়ে ৪টি কাঠামোগত ভুল (Summary of Trial Court Errors)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রায়টি মূলত ৪টি কাঠামোগত ভুলের উপর প্রতিষ্ঠিত:*</w:t>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Error 1 (Assumption before proof):</w:t>
      </w:r>
      <w:r>
        <w:rPr>
          <w:rFonts w:ascii="Kalpurush" w:cs="Kalpurush" w:eastAsia="Kalpurush" w:hAnsi="Kalpurush"/>
          <w:sz w:val="20"/>
          <w:szCs w:val="20"/>
        </w:rPr>
        <w:t xml:space="preserve"> আব্দুল করিমের মূল স্বত্বের দালিলিক প্রমাণ ছাড়াই অনুমান গ্রহণ করা।</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Error 2 (Missing foundation accepted as fact):</w:t>
      </w:r>
      <w:r>
        <w:rPr>
          <w:rFonts w:ascii="Kalpurush" w:cs="Kalpurush" w:eastAsia="Kalpurush" w:hAnsi="Kalpurush"/>
          <w:sz w:val="20"/>
          <w:szCs w:val="20"/>
        </w:rPr>
        <w:t xml:space="preserve"> কথিত ১৯৬৯ সালের Misc Case-এর আদেশ ব্যতিরেকে ফলাফল সত্য মানিয়া নেওয়া।</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Error 3 (Secondary entry given supremacy):</w:t>
      </w:r>
      <w:r>
        <w:rPr>
          <w:rFonts w:ascii="Kalpurush" w:cs="Kalpurush" w:eastAsia="Kalpurush" w:hAnsi="Kalpurush"/>
          <w:sz w:val="20"/>
          <w:szCs w:val="20"/>
        </w:rPr>
        <w:t xml:space="preserve"> জেলা রেকর্ড রুমের মূল সংবিধিবদ্ধ রেকর্ডের বিপরীতে একটি ব্যাখ্যাহীন স্থানীয় ভলিউম নোটকে প্রাধান্য দেওয়া।</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Error 4 (Material contradictions ignored):</w:t>
      </w:r>
      <w:r>
        <w:rPr>
          <w:rFonts w:ascii="Kalpurush" w:cs="Kalpurush" w:eastAsia="Kalpurush" w:hAnsi="Kalpurush"/>
          <w:sz w:val="20"/>
          <w:szCs w:val="20"/>
        </w:rPr>
        <w:t xml:space="preserve"> বিবাদীদের ১৯৭৫ সালের দলিলের ৬ দাগ বনাম ভলিউমের ১ দাগের স্ববিরোধিতা এবং গাণিতিক অসামঞ্জস্য সম্পূর্ণ এড়াইয়া যাওয়া।"*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আবেদন ও প্রার্থিত প্রতিকার (Closing Prayer)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 অত্যন্ত স্পষ্ট ও পরিমিত:*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r>
        <w:rPr>
          <w:rFonts w:ascii="Kalpurush" w:cs="Kalpurush" w:eastAsia="Kalpurush" w:hAnsi="Kalpurush"/>
        </w:rPr>
        <w:t xml:space="preserve"/>
      </w:r>
    </w:p>
    <w:p>
      <w:r>
        <w:rPr>
          <w:rFonts w:ascii="Kalpurush" w:cs="Kalpurush" w:eastAsia="Kalpurush" w:hAnsi="Kalpurush"/>
          <w:sz w:val="20"/>
          <w:szCs w:val="20"/>
        </w:rPr>
        <w:t xml:space="preserve">*বিবাদীপক্ষ সেই প্রমাণ দিতে সম্পূর্ণ ব্যর্থ হইয়াছে। অতএব বিজ্ঞ বিচারিক আদালতের রায় আইনত টিকিয়া থাকিতে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প্রার্থিত প্রতিকার:</w:t>
      </w:r>
    </w:p>
    <w:p>
      <w:r>
        <w:rPr>
          <w:rFonts w:ascii="Kalpurush" w:cs="Kalpurush" w:eastAsia="Kalpurush" w:hAnsi="Kalpurush"/>
          <w:sz w:val="20"/>
          <w:szCs w:val="20"/>
        </w:rPr>
        <w:t xml:space="preserve">*অতএব মহামান্য আদালতের নিকট বিনীত প্রার্থনা:*</w:t>
      </w:r>
    </w:p>
    <w:p>
      <w:pPr>
        <w:pStyle w:val="ListParagraph"/>
        <w:numPr>
          <w:ilvl w:val="0"/>
          <w:numId w:val="1"/>
        </w:numPr>
      </w:pPr>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(set aside) করা হউক;</w:t>
      </w:r>
    </w:p>
    <w:p>
      <w:pPr>
        <w:pStyle w:val="ListParagraph"/>
        <w:numPr>
          <w:ilvl w:val="0"/>
          <w:numId w:val="1"/>
        </w:numPr>
      </w:pPr>
      <w:r>
        <w:rPr>
          <w:rFonts w:ascii="Kalpurush" w:cs="Kalpurush" w:eastAsia="Kalpurush" w:hAnsi="Kalpurush"/>
          <w:b/>
          <w:bCs/>
          <w:sz w:val="20"/>
          <w:szCs w:val="20"/>
        </w:rPr>
        <w:t xml:space="preserve">খ)</w:t>
      </w:r>
      <w:r>
        <w:rPr>
          <w:rFonts w:ascii="Kalpurush" w:cs="Kalpurush" w:eastAsia="Kalpurush" w:hAnsi="Kalpurush"/>
          <w:sz w:val="20"/>
          <w:szCs w:val="20"/>
        </w:rPr>
        <w:t xml:space="preserve"> SA ২৩৮ নং খতিয়ানের ভিত্তিতে আপীল্যান্ট বাদীপক্ষ এবং ১নং রেসপন্ডেন্টের সোলেনামার অনুকূলে নালিশী সম্পত্তিতে প্রাথমিক ডিক্রি (Preliminary Decree) প্রদান করা হউক;</w:t>
      </w:r>
    </w:p>
    <w:p>
      <w:pPr>
        <w:pStyle w:val="ListParagraph"/>
        <w:numPr>
          <w:ilvl w:val="0"/>
          <w:numId w:val="1"/>
        </w:numPr>
      </w:pPr>
      <w:r>
        <w:rPr>
          <w:rFonts w:ascii="Kalpurush" w:cs="Kalpurush" w:eastAsia="Kalpurush" w:hAnsi="Kalpurush"/>
          <w:b/>
          <w:bCs/>
          <w:sz w:val="20"/>
          <w:szCs w:val="20"/>
        </w:rPr>
        <w:t xml:space="preserve">গ)</w:t>
      </w:r>
      <w:r>
        <w:rPr>
          <w:rFonts w:ascii="Kalpurush" w:cs="Kalpurush" w:eastAsia="Kalpurush" w:hAnsi="Kalpurush"/>
          <w:sz w:val="20"/>
          <w:szCs w:val="20"/>
        </w:rPr>
        <w:t xml:space="preserve"> বিকল্পে, একজন বিজ্ঞ অ্যাডভোকেট কমিশনার নিয়োগ করিয়া সরকারের খাস জমিতে কোনো হস্তক্ষেপ না করিয়া কেবল SA ২৩৮-ভুক্ত সম্পত্তিতে বাদীদের অংশ সরেজমিনে চিহ্নিত ও বাটোয়ারা সম্পন্ন করিবার আদেশ প্রদান করা হউক; এবং</w:t>
      </w:r>
    </w:p>
    <w:p>
      <w:pPr>
        <w:pStyle w:val="ListParagraph"/>
        <w:numPr>
          <w:ilvl w:val="0"/>
          <w:numId w:val="1"/>
        </w:numPr>
      </w:pPr>
      <w:r>
        <w:rPr>
          <w:rFonts w:ascii="Kalpurush" w:cs="Kalpurush" w:eastAsia="Kalpurush" w:hAnsi="Kalpurush"/>
          <w:b/>
          <w:bCs/>
          <w:sz w:val="20"/>
          <w:szCs w:val="20"/>
        </w:rPr>
        <w:t xml:space="preserve">ঘ)</w:t>
      </w:r>
      <w:r>
        <w:rPr>
          <w:rFonts w:ascii="Kalpurush" w:cs="Kalpurush" w:eastAsia="Kalpurush" w:hAnsi="Kalpurush"/>
          <w:sz w:val="20"/>
          <w:szCs w:val="20"/>
        </w:rPr>
        <w:t xml:space="preserve">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2026-08-15T06:21:35.285Z</dcterms:created>
  <dcterms:modified xsi:type="dcterms:W3CDTF">2026-08-15T06:21:35.285Z</dcterms:modified>
</cp:coreProperties>
</file>

<file path=docProps/custom.xml><?xml version="1.0" encoding="utf-8"?>
<Properties xmlns="http://schemas.openxmlformats.org/officeDocument/2006/custom-properties" xmlns:vt="http://schemas.openxmlformats.org/officeDocument/2006/docPropsVTypes"/>
</file>