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Kalpurush" w:cs="Kalpurush" w:eastAsia="Kalpurush" w:hAnsi="Kalpurush"/>
          <w:sz w:val="20"/>
          <w:szCs w:val="20"/>
        </w:rPr>
        <w:t xml:space="preserve">জেলা জজ আদালত, টাঙ্গাইল</w:t>
      </w:r>
    </w:p>
    <w:p>
      <w:pPr>
        <w:pStyle w:val="Heading2"/>
      </w:pPr>
      <w:r>
        <w:rPr>
          <w:rFonts w:ascii="Kalpurush" w:cs="Kalpurush" w:eastAsia="Kalpurush" w:hAnsi="Kalpurush"/>
          <w:sz w:val="20"/>
          <w:szCs w:val="20"/>
        </w:rPr>
        <w:t xml:space="preserve">আপীল মামলা নং ৩৮/২০২৬</w:t>
      </w:r>
    </w:p>
    <w:p>
      <w:pPr>
        <w:pStyle w:val="Heading3"/>
      </w:pPr>
      <w:r>
        <w:rPr>
          <w:rFonts w:ascii="Kalpurush" w:cs="Kalpurush" w:eastAsia="Kalpurush" w:hAnsi="Kalpurush"/>
          <w:sz w:val="20"/>
          <w:szCs w:val="20"/>
        </w:rPr>
        <w:t xml:space="preserve">বাটোয়ারা মামলা নং ৬৬/২০১৬, সখিপুর সিভিল জজ আদালত হইতে উদ্ভূত</w:t>
      </w:r>
    </w:p>
    <w:p>
      <w:r>
        <w:rPr>
          <w:rFonts w:ascii="Kalpurush" w:cs="Kalpurush" w:eastAsia="Kalpurush" w:hAnsi="Kalpurush"/>
          <w:b/>
          <w:bCs/>
          <w:sz w:val="20"/>
          <w:szCs w:val="20"/>
        </w:rPr>
        <w:t xml:space="preserve">হাতেম আলী ও অন্যান্য (আপীল্যান্ট/বাদী) বনাম আলহাজ উদ্দিন ও অন্যান্য (রেসপন্ডেন্ট/বিবাদী)</w:t>
      </w:r>
    </w:p>
    <w:p>
      <w:r>
        <w:rPr>
          <w:rFonts w:ascii="Kalpurush" w:cs="Kalpurush" w:eastAsia="Kalpurush" w:hAnsi="Kalpurush"/>
        </w:rPr>
        <w:t xml:space="preserve"/>
      </w:r>
    </w:p>
    <w:p>
      <w:r>
        <w:rPr>
          <w:rFonts w:ascii="Kalpurush" w:cs="Kalpurush" w:eastAsia="Kalpurush" w:hAnsi="Kalpurush"/>
          <w:b/>
          <w:bCs/>
          <w:sz w:val="20"/>
          <w:szCs w:val="20"/>
        </w:rPr>
        <w:t xml:space="preserve">শুনানি সহায়িকা (Version 76 — Court-Ready Oral Hearing Aid &amp; Verbatim Authority Quotes)</w:t>
      </w:r>
    </w:p>
    <w:p>
      <w:r>
        <w:rPr>
          <w:rFonts w:ascii="Kalpurush" w:cs="Kalpurush" w:eastAsia="Kalpurush" w:hAnsi="Kalpurush"/>
        </w:rPr>
        <w:t xml:space="preserve"/>
      </w:r>
    </w:p>
    <w:p>
      <w:r>
        <w:rPr>
          <w:rFonts w:ascii="Kalpurush" w:cs="Kalpurush" w:eastAsia="Kalpurush" w:hAnsi="Kalpurush"/>
          <w:b/>
          <w:bCs/>
          <w:sz w:val="20"/>
          <w:szCs w:val="20"/>
        </w:rPr>
        <w:t xml:space="preserve">তারিখ:</w:t>
      </w:r>
      <w:r>
        <w:rPr>
          <w:rFonts w:ascii="Kalpurush" w:cs="Kalpurush" w:eastAsia="Kalpurush" w:hAnsi="Kalpurush"/>
          <w:sz w:val="20"/>
          <w:szCs w:val="20"/>
        </w:rPr>
        <w:t xml:space="preserve"> ১৫ আগস্ট ২০২৬ | </w:t>
      </w:r>
      <w:r>
        <w:rPr>
          <w:rFonts w:ascii="Kalpurush" w:cs="Kalpurush" w:eastAsia="Kalpurush" w:hAnsi="Kalpurush"/>
          <w:b/>
          <w:bCs/>
          <w:sz w:val="20"/>
          <w:szCs w:val="20"/>
        </w:rPr>
        <w:t xml:space="preserve">আদালত:</w:t>
      </w:r>
      <w:r>
        <w:rPr>
          <w:rFonts w:ascii="Kalpurush" w:cs="Kalpurush" w:eastAsia="Kalpurush" w:hAnsi="Kalpurush"/>
          <w:sz w:val="20"/>
          <w:szCs w:val="20"/>
        </w:rPr>
        <w:t xml:space="preserve"> জেলা জজ আদালত, টাঙ্গাইল</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শুনানিতে ৫ মিনিটের সরাসরি পাঠযোগ্য রোডম্যাপ (5-Minute Oral Hearing Script)</w:t>
      </w:r>
    </w:p>
    <w:p>
      <w:r>
        <w:rPr>
          <w:rFonts w:ascii="Kalpurush" w:cs="Kalpurush" w:eastAsia="Kalpurush" w:hAnsi="Kalpurush"/>
        </w:rPr>
        <w:t xml:space="preserve"/>
      </w:r>
    </w:p>
    <w:p>
      <w:r>
        <w:rPr>
          <w:rFonts w:ascii="Kalpurush" w:cs="Kalpurush" w:eastAsia="Kalpurush" w:hAnsi="Kalpurush"/>
          <w:b/>
          <w:bCs/>
          <w:sz w:val="20"/>
          <w:szCs w:val="20"/>
        </w:rPr>
        <w:t xml:space="preserve">১. প্রথম মিনিট (The Legal Starting Point):</w:t>
      </w:r>
    </w:p>
    <w:p>
      <w:pPr>
        <w:ind w:left="720"/>
      </w:pPr>
      <w:r>
        <w:rPr>
          <w:rFonts w:ascii="Kalpurush" w:cs="Kalpurush" w:eastAsia="Kalpurush" w:hAnsi="Kalpurush"/>
          <w:i/>
          <w:iCs/>
          <w:sz w:val="20"/>
          <w:szCs w:val="20"/>
        </w:rPr>
        <w:t xml:space="preserve">*"মহামান্য আদালত, এই আপীলের নিষ্পত্তির জন্য ১৯৩৪ সালের কথিত পত্তনের সম্পূর্ণ ইতিহাস পুনর্গঠন করা আবশ্যক নহে। আমাদের মূল আইনি ভিত্তি হইল — রাষ্ট্র ১৯৫২ সালে জমিদারি অধিগ্রহণ করিয়াছে এবং সরেজমিনে জমি, দখল ও খাজনা যাচাই করিয়া SA ২৩৮ নং খতিয়ান প্রস্তুত করিয়াছে। জেলা প্রশাসকের সেন্ট্রাল রেকর্ড রুমে আজও সেই সরকারি মূল রেকর্ড আব্দুল আলীর নামে ১৬ আনা একক রায়ত হিসেবে সম্পূর্ণ অক্ষত ও অপরিবর্তিত রহিয়াছে।"*</w:t>
      </w:r>
    </w:p>
    <w:p>
      <w:r>
        <w:rPr>
          <w:rFonts w:ascii="Kalpurush" w:cs="Kalpurush" w:eastAsia="Kalpurush" w:hAnsi="Kalpurush"/>
        </w:rPr>
        <w:t xml:space="preserve"/>
      </w:r>
    </w:p>
    <w:p>
      <w:r>
        <w:rPr>
          <w:rFonts w:ascii="Kalpurush" w:cs="Kalpurush" w:eastAsia="Kalpurush" w:hAnsi="Kalpurush"/>
          <w:b/>
          <w:bCs/>
          <w:sz w:val="20"/>
          <w:szCs w:val="20"/>
        </w:rPr>
        <w:t xml:space="preserve">২. দ্বিতীয় মিনিট (The Statutory Presumption):</w:t>
      </w:r>
    </w:p>
    <w:p>
      <w:pPr>
        <w:ind w:left="720"/>
      </w:pPr>
      <w:r>
        <w:rPr>
          <w:rFonts w:ascii="Kalpurush" w:cs="Kalpurush" w:eastAsia="Kalpurush" w:hAnsi="Kalpurush"/>
          <w:i/>
          <w:iCs/>
          <w:sz w:val="20"/>
          <w:szCs w:val="20"/>
        </w:rPr>
        <w:t xml:space="preserve">*"আমরা বলছি না SA খতিয়ান কোনো অবস্থাতেই ভুল হতে পারে না। আইনের বিধান অনুযায়ী Record of Rights-এর presumption হলো rebuttable; কিন্তু সেই অনুমান খণ্ডন করতে হলে challenger-কে নির্ভরযোগ্য ও সুনির্দিষ্ট দালিলিক সাক্ষ্য উপস্থাপন করতে হবে — কেবল মুখের দাবি যথেষ্ট নয়। বাদীপক্ষ সইমোহরি SA ২৩৮ খতিয়ান (প্রদর্শনী-৪) দাখিল করে প্রমাণের প্রাথমিক দায় সম্পূর্ণ পূরণ করিয়াছে।"*</w:t>
      </w:r>
    </w:p>
    <w:p>
      <w:r>
        <w:rPr>
          <w:rFonts w:ascii="Kalpurush" w:cs="Kalpurush" w:eastAsia="Kalpurush" w:hAnsi="Kalpurush"/>
        </w:rPr>
        <w:t xml:space="preserve"/>
      </w:r>
    </w:p>
    <w:p>
      <w:r>
        <w:rPr>
          <w:rFonts w:ascii="Kalpurush" w:cs="Kalpurush" w:eastAsia="Kalpurush" w:hAnsi="Kalpurush"/>
          <w:b/>
          <w:bCs/>
          <w:sz w:val="20"/>
          <w:szCs w:val="20"/>
        </w:rPr>
        <w:t xml:space="preserve">৩. তৃতীয় মিনিট (The Missing Foundation of Defence):</w:t>
      </w:r>
    </w:p>
    <w:p>
      <w:pPr>
        <w:ind w:left="720"/>
      </w:pPr>
      <w:r>
        <w:rPr>
          <w:rFonts w:ascii="Kalpurush" w:cs="Kalpurush" w:eastAsia="Kalpurush" w:hAnsi="Kalpurush"/>
          <w:i/>
          <w:iCs/>
          <w:sz w:val="20"/>
          <w:szCs w:val="20"/>
        </w:rPr>
        <w:t xml:space="preserve">*"বিবাদীপক্ষের সমগ্র দাবি দাঁড়াইয়া আছে দুইটি অনুমানের উপর: প্রথমত ১৯৩৪ সালের কথিত পত্তন, এবং দ্বিতীয়ত ১৯৬৯ সালের কথিত ১১৮১ নং Misc Case। অথচ বিচারিক নথিতে মূল পাট্টা বা কবুলিয়ত নাই, এবং কথিত Misc Case-এর আরজি, রায়, ডিক্রি, আদেশনামা বা সইমোহরি কপি — কিছুই দাখিল করা হয় নাই। এমনকি বিবাদীরা মূল রেকর্ডও তলব করান নাই। মূল বিচারিক আদেশ যেখানে অপ্রমাণিত, সেখানে সহকারী কমিশনার (ভূমি) অফিসের একটি ব্যাখ্যাহীন মার্জিন নোট নিজে থেকে স্বত্ব সৃষ্টি বা প্রমাণ করতে পারে না।"*</w:t>
      </w:r>
    </w:p>
    <w:p>
      <w:r>
        <w:rPr>
          <w:rFonts w:ascii="Kalpurush" w:cs="Kalpurush" w:eastAsia="Kalpurush" w:hAnsi="Kalpurush"/>
        </w:rPr>
        <w:t xml:space="preserve"/>
      </w:r>
    </w:p>
    <w:p>
      <w:r>
        <w:rPr>
          <w:rFonts w:ascii="Kalpurush" w:cs="Kalpurush" w:eastAsia="Kalpurush" w:hAnsi="Kalpurush"/>
          <w:b/>
          <w:bCs/>
          <w:sz w:val="20"/>
          <w:szCs w:val="20"/>
        </w:rPr>
        <w:t xml:space="preserve">৪. চতুর্থ মিনিট (The Fatal Contradiction — 1975 Deed):</w:t>
      </w:r>
    </w:p>
    <w:p>
      <w:pPr>
        <w:ind w:left="720"/>
      </w:pPr>
      <w:r>
        <w:rPr>
          <w:rFonts w:ascii="Kalpurush" w:cs="Kalpurush" w:eastAsia="Kalpurush" w:hAnsi="Kalpurush"/>
          <w:i/>
          <w:iCs/>
          <w:sz w:val="20"/>
          <w:szCs w:val="20"/>
        </w:rPr>
        <w:t xml:space="preserve">*"বিবাদীদের তলবকৃত AC Land ভলিউমে এবং সাক্ষীদের জেরায় SA ২৩৮ খতিয়ানে কেবল ১টি দাগের (১২৫৯ দাগ) কথা বলা হইয়াছে — তাও দাগের মোট পরিমাণের চেয়ে ৯ শতাংশ বেশি ভুল পরিমাপে। অথচ তাহাদের নিজেদেরই সম্পাদিত ও রেজিস্ট্রিকৃত ৩৫৯৬/১৯৭৫ নং দলিলে (Exhibit Kha-1) SA ২৩৮ খতিয়ানের অধীনে ১টি নহে, বরং ৬টি দাগের জমি হস্তান্তর করা হইয়াছে! ভলিউম ও জেরায় ১ দাগ, কিন্তু নিজেদের দলিলে ৬ দাগ? এটি একটি গুরুতর দালিলিক স্ববিরোধিতা, যা বিবাদীদের কথিত সংশোধনের ভিত্তিকে সম্পূর্ণরূপে ধ্বংস করে।"*</w:t>
      </w:r>
    </w:p>
    <w:p>
      <w:r>
        <w:rPr>
          <w:rFonts w:ascii="Kalpurush" w:cs="Kalpurush" w:eastAsia="Kalpurush" w:hAnsi="Kalpurush"/>
        </w:rPr>
        <w:t xml:space="preserve"/>
      </w:r>
    </w:p>
    <w:p>
      <w:r>
        <w:rPr>
          <w:rFonts w:ascii="Kalpurush" w:cs="Kalpurush" w:eastAsia="Kalpurush" w:hAnsi="Kalpurush"/>
          <w:b/>
          <w:bCs/>
          <w:sz w:val="20"/>
          <w:szCs w:val="20"/>
        </w:rPr>
        <w:t xml:space="preserve">৫. পঞ্চম মিনিট (The Trial Court Errors &amp; Prayer):</w:t>
      </w:r>
    </w:p>
    <w:p>
      <w:pPr>
        <w:ind w:left="720"/>
      </w:pPr>
      <w:r>
        <w:rPr>
          <w:rFonts w:ascii="Kalpurush" w:cs="Kalpurush" w:eastAsia="Kalpurush" w:hAnsi="Kalpurush"/>
          <w:i/>
          <w:iCs/>
          <w:sz w:val="20"/>
          <w:szCs w:val="20"/>
        </w:rPr>
        <w:t xml:space="preserve">*"বিজ্ঞ বিচারিক আদালত চারটি মারাত্মক আইনি ভুল করিয়াছেন: (১) মূল প্রজা স্বত্বের দালিলিক প্রমাণ ছাড়াই অনুমান গ্রহণ করিয়াছেন, (২) অপ্রমাণিত Misc Case-এর আইনি ফলাফল প্রতিষ্ঠিত ধরে নিয়েছেন, (৩) সহকারী কমিশনার (ভূমি) অফিসের অধীনস্থ ভলিউম নোটকে মূল রেকর্ড রুমের সংবিধিবদ্ধ রেকর্ডের উপরে স্থান দিয়েছেন, এবং (৪) নিজস্ব দলিলের অখণ্ডনীয় বৈপরীত্য ও গাণিতিক অসামঞ্জস্য বিবেচনায় নেননি। অতএব ট্রায়াল কোর্টের খারিজ রায় বাতিল করিয়া বাদীদের অনুকূলে প্রাথমিক ডিক্রি (Preliminary Decree) প্রদানই ন্যায়বিচারের একমাত্র দাবি।"*</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আদালতের সামনে প্রারম্ভিক মূল প্রশ্ন (The Central Question)</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"চূড়ান্তভাবে প্রকাশিত এবং আজও জেলা প্রশাসকের সেটেলমেন্ট রেকর্ড রুমে আব্দুল আলীর নামে একক ও অপরিবর্তিত SA ২৩৮ নং খতিয়ান — কি একটি অপ্রমাণিত Misc Case, সখিপুর AC Land অফিসের তলবি ভলিউমে ভিন্ন কালিতে লেখা একটি ত্রুটিপূর্ণ মার্জিন নোট এবং বিবাদীদের নিজেদের রেজিস্ট্রিকৃত দলিলের সাথে সাংঘর্ষিক মৌখিক দাবি দ্বারা পরাজিত হইতে পারে?"</w:t>
      </w:r>
    </w:p>
    <w:p>
      <w:pPr>
        <w:ind w:left="720"/>
      </w:pPr>
    </w:p>
    <w:p>
      <w:pPr>
        <w:ind w:left="720"/>
      </w:pPr>
      <w:r>
        <w:rPr>
          <w:rFonts w:ascii="Kalpurush" w:cs="Kalpurush" w:eastAsia="Kalpurush" w:hAnsi="Kalpurush"/>
          <w:b/>
          <w:bCs/>
          <w:i/>
          <w:iCs/>
          <w:sz w:val="20"/>
          <w:szCs w:val="20"/>
        </w:rPr>
        <w:t xml:space="preserve">আমাদের বিনীত উত্তর — "কখনোই পারে না।"</w:t>
      </w:r>
    </w:p>
    <w:p>
      <w:pPr>
        <w:ind w:left="720"/>
      </w:pPr>
    </w:p>
    <w:p>
      <w:pPr>
        <w:ind w:left="720"/>
      </w:pPr>
      <w:r>
        <w:rPr>
          <w:rFonts w:ascii="Kalpurush" w:cs="Kalpurush" w:eastAsia="Kalpurush" w:hAnsi="Kalpurush"/>
          <w:b/>
          <w:bCs/>
          <w:i/>
          <w:iCs/>
          <w:sz w:val="20"/>
          <w:szCs w:val="20"/>
        </w:rPr>
        <w:t xml:space="preserve">"We do not ask the Court to hold that a finally published SA record can never be wrong. We ask the Court to require the party challenging that record to prove how, when and by what lawful instrument it was displaced."</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৪টি মূল সংবিধিবদ্ধ প্রস্তাবনা (The 4 Principal Propositions)</w:t>
      </w:r>
    </w:p>
    <w:p>
      <w:r>
        <w:rPr>
          <w:rFonts w:ascii="Kalpurush" w:cs="Kalpurush" w:eastAsia="Kalpurush" w:hAnsi="Kalpurush"/>
        </w:rPr>
        <w:t xml:space="preserve"/>
      </w:r>
    </w:p>
    <w:p>
      <w:r>
        <w:rPr>
          <w:rFonts w:ascii="Kalpurush" w:cs="Kalpurush" w:eastAsia="Kalpurush" w:hAnsi="Kalpurush"/>
          <w:sz w:val="20"/>
          <w:szCs w:val="20"/>
        </w:rPr>
        <w:t xml:space="preserve">১. </w:t>
      </w:r>
      <w:r>
        <w:rPr>
          <w:rFonts w:ascii="Kalpurush" w:cs="Kalpurush" w:eastAsia="Kalpurush" w:hAnsi="Kalpurush"/>
          <w:b/>
          <w:bCs/>
          <w:sz w:val="20"/>
          <w:szCs w:val="20"/>
        </w:rPr>
        <w:t xml:space="preserve">Root Tenancy Never Proved:</w:t>
      </w:r>
      <w:r>
        <w:rPr>
          <w:rFonts w:ascii="Kalpurush" w:cs="Kalpurush" w:eastAsia="Kalpurush" w:hAnsi="Kalpurush"/>
          <w:sz w:val="20"/>
          <w:szCs w:val="20"/>
        </w:rPr>
        <w:t xml:space="preserve"> বিবাদীদের পূর্বসূরি আব্দুল করিমের কোনো নিবন্ধিত পাট্টা, কবুলিয়ত, সিএস খতিয়ান বা চিফ ম্যানেজারের অনুমোদনপত্র আদালতে দাখিল হয় নাই।</w:t>
      </w:r>
    </w:p>
    <w:p>
      <w:r>
        <w:rPr>
          <w:rFonts w:ascii="Kalpurush" w:cs="Kalpurush" w:eastAsia="Kalpurush" w:hAnsi="Kalpurush"/>
          <w:sz w:val="20"/>
          <w:szCs w:val="20"/>
        </w:rPr>
        <w:t xml:space="preserve">২. </w:t>
      </w:r>
      <w:r>
        <w:rPr>
          <w:rFonts w:ascii="Kalpurush" w:cs="Kalpurush" w:eastAsia="Kalpurush" w:hAnsi="Kalpurush"/>
          <w:b/>
          <w:bCs/>
          <w:sz w:val="20"/>
          <w:szCs w:val="20"/>
        </w:rPr>
        <w:t xml:space="preserve">SA Presumption Rebuttable but Unrebutted:</w:t>
      </w:r>
      <w:r>
        <w:rPr>
          <w:rFonts w:ascii="Kalpurush" w:cs="Kalpurush" w:eastAsia="Kalpurush" w:hAnsi="Kalpurush"/>
          <w:sz w:val="20"/>
          <w:szCs w:val="20"/>
        </w:rPr>
        <w:t xml:space="preserve"> জেলা রেকর্ড রুমে ৫০ বছর অপরিবর্তিত SA ২৩৮ খতিয়ান (আব্দুল আলী ১৬ আনা প্রজা) SAT Act s. 144A অনুযায়ী সংবিধিবদ্ধ অনুমানের অধিকারী; reliable evidence ছাড়া তা খণ্ডন করা যায় না।</w:t>
      </w:r>
    </w:p>
    <w:p>
      <w:r>
        <w:rPr>
          <w:rFonts w:ascii="Kalpurush" w:cs="Kalpurush" w:eastAsia="Kalpurush" w:hAnsi="Kalpurush"/>
          <w:sz w:val="20"/>
          <w:szCs w:val="20"/>
        </w:rPr>
        <w:t xml:space="preserve">৩. </w:t>
      </w:r>
      <w:r>
        <w:rPr>
          <w:rFonts w:ascii="Kalpurush" w:cs="Kalpurush" w:eastAsia="Kalpurush" w:hAnsi="Kalpurush"/>
          <w:b/>
          <w:bCs/>
          <w:sz w:val="20"/>
          <w:szCs w:val="20"/>
        </w:rPr>
        <w:t xml:space="preserve">Alleged Misc Case Order Absent:</w:t>
      </w:r>
      <w:r>
        <w:rPr>
          <w:rFonts w:ascii="Kalpurush" w:cs="Kalpurush" w:eastAsia="Kalpurush" w:hAnsi="Kalpurush"/>
          <w:sz w:val="20"/>
          <w:szCs w:val="20"/>
        </w:rPr>
        <w:t xml:space="preserve"> ১৯৬৯ সালের ১১৮১ নং Misc Case-এর কোনো Judgment, Order, Decree বা Certified Copy নাই; আদেশের অনুপস্থিতিতে ভলিউম নোট নিজে থেকে স্বত্ব প্রমাণ করিতে পারে না।</w:t>
      </w:r>
    </w:p>
    <w:p>
      <w:r>
        <w:rPr>
          <w:rFonts w:ascii="Kalpurush" w:cs="Kalpurush" w:eastAsia="Kalpurush" w:hAnsi="Kalpurush"/>
          <w:sz w:val="20"/>
          <w:szCs w:val="20"/>
        </w:rPr>
        <w:t xml:space="preserve">৪. </w:t>
      </w:r>
      <w:r>
        <w:rPr>
          <w:rFonts w:ascii="Kalpurush" w:cs="Kalpurush" w:eastAsia="Kalpurush" w:hAnsi="Kalpurush"/>
          <w:b/>
          <w:bCs/>
          <w:sz w:val="20"/>
          <w:szCs w:val="20"/>
        </w:rPr>
        <w:t xml:space="preserve">1975 Deed Contradiction:</w:t>
      </w:r>
      <w:r>
        <w:rPr>
          <w:rFonts w:ascii="Kalpurush" w:cs="Kalpurush" w:eastAsia="Kalpurush" w:hAnsi="Kalpurush"/>
          <w:sz w:val="20"/>
          <w:szCs w:val="20"/>
        </w:rPr>
        <w:t xml:space="preserve"> বিবাদীদের তলবকৃত AC Land ভলিউম ও জেরার বক্তব্যে SA ২৩৮ খতিয়ানে কেবল ১টি দাগের (১২৫৯ দাগ) কথা বলা হইলেও, তাহাদের নিজেদের রেজিস্ট্রিকৃত ৩৫৯৬/১৯৭৫ নং দলিলে (Exh Kha-1) SA ২৩৮-এ ৬টি দাগ বর্ণিত, যা তাহাদের দাবির ভিত্তিমূল দুর্বল করে।</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আর্গুমেন্টে পাঠযোগ্য আইনি নজিরের সুনির্দিষ্ট উদ্ধৃতি (Verbatim Authority Quotes)</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Kalpurush" w:cs="Kalpurush" w:eastAsia="Kalpurush" w:hAnsi="Kalpurush"/>
                <w:sz w:val="20"/>
                <w:szCs w:val="20"/>
              </w:rPr>
              <w:t xml:space="preserve">নজির</w:t>
            </w:r>
          </w:p>
        </w:tc>
        <w:tc>
          <w:p>
            <w:r>
              <w:rPr>
                <w:rFonts w:ascii="Kalpurush" w:cs="Kalpurush" w:eastAsia="Kalpurush" w:hAnsi="Kalpurush"/>
                <w:sz w:val="20"/>
                <w:szCs w:val="20"/>
              </w:rPr>
              <w:t xml:space="preserve">আদালতের সামনে সরাসরি পাঠযোগ্য উদ্ধৃতি</w:t>
            </w:r>
          </w:p>
        </w:tc>
      </w:tr>
      <w:tr>
        <w:tc>
          <w:p>
            <w:r>
              <w:rPr>
                <w:rFonts w:ascii="Kalpurush" w:cs="Kalpurush" w:eastAsia="Kalpurush" w:hAnsi="Kalpurush"/>
                <w:b/>
                <w:bCs/>
                <w:sz w:val="20"/>
                <w:szCs w:val="20"/>
              </w:rPr>
              <w:t xml:space="preserve">50 DLR 186</w:t>
            </w:r>
            <w:r>
              <w:rPr>
                <w:rFonts w:ascii="Kalpurush" w:cs="Kalpurush" w:eastAsia="Kalpurush" w:hAnsi="Kalpurush"/>
                <w:sz w:val="20"/>
                <w:szCs w:val="20"/>
              </w:rPr>
              <w:t xml:space="preserve"> *(Dayal Chandra Mondal)*</w:t>
            </w:r>
          </w:p>
        </w:tc>
        <w:tc>
          <w:p>
            <w:r>
              <w:rPr>
                <w:rFonts w:ascii="Kalpurush" w:cs="Kalpurush" w:eastAsia="Kalpurush" w:hAnsi="Kalpurush"/>
                <w:sz w:val="20"/>
                <w:szCs w:val="20"/>
              </w:rPr>
              <w:t xml:space="preserve">*"A record of rights finally published and revised under section 144A of the S.A.T. Act has a presumption of correctness and that presumption continues till it is rebutted by reliable evidence."*</w:t>
            </w:r>
          </w:p>
        </w:tc>
      </w:tr>
      <w:tr>
        <w:tc>
          <w:p>
            <w:r>
              <w:rPr>
                <w:rFonts w:ascii="Kalpurush" w:cs="Kalpurush" w:eastAsia="Kalpurush" w:hAnsi="Kalpurush"/>
                <w:b/>
                <w:bCs/>
                <w:sz w:val="20"/>
                <w:szCs w:val="20"/>
              </w:rPr>
              <w:t xml:space="preserve">56 DLR (AD) 53</w:t>
            </w:r>
            <w:r>
              <w:rPr>
                <w:rFonts w:ascii="Kalpurush" w:cs="Kalpurush" w:eastAsia="Kalpurush" w:hAnsi="Kalpurush"/>
                <w:sz w:val="20"/>
                <w:szCs w:val="20"/>
              </w:rPr>
              <w:t xml:space="preserve"> *(Govt. vs. AKM Abdul Hye)*</w:t>
            </w:r>
          </w:p>
        </w:tc>
        <w:tc>
          <w:p>
            <w:r>
              <w:rPr>
                <w:rFonts w:ascii="Kalpurush" w:cs="Kalpurush" w:eastAsia="Kalpurush" w:hAnsi="Kalpurush"/>
                <w:sz w:val="20"/>
                <w:szCs w:val="20"/>
              </w:rPr>
              <w:t xml:space="preserve">*"Records of rights prepared under the SAT Act carry a statutory presumption of correctness which must be rebutted by positive and reliable evidence by the challenger."*</w:t>
            </w:r>
          </w:p>
        </w:tc>
      </w:tr>
      <w:tr>
        <w:tc>
          <w:p>
            <w:r>
              <w:rPr>
                <w:rFonts w:ascii="Kalpurush" w:cs="Kalpurush" w:eastAsia="Kalpurush" w:hAnsi="Kalpurush"/>
                <w:b/>
                <w:bCs/>
                <w:sz w:val="20"/>
                <w:szCs w:val="20"/>
              </w:rPr>
              <w:t xml:space="preserve">10 BLT (AD) 105</w:t>
            </w:r>
            <w:r>
              <w:rPr>
                <w:rFonts w:ascii="Kalpurush" w:cs="Kalpurush" w:eastAsia="Kalpurush" w:hAnsi="Kalpurush"/>
                <w:sz w:val="20"/>
                <w:szCs w:val="20"/>
              </w:rPr>
              <w:t xml:space="preserve"> *(Azizul Hoque)*</w:t>
            </w:r>
          </w:p>
        </w:tc>
        <w:tc>
          <w:p>
            <w:r>
              <w:rPr>
                <w:rFonts w:ascii="Kalpurush" w:cs="Kalpurush" w:eastAsia="Kalpurush" w:hAnsi="Kalpurush"/>
                <w:sz w:val="20"/>
                <w:szCs w:val="20"/>
              </w:rPr>
              <w:t xml:space="preserve">*"The burden of proving the error in the record of rights lies heavily on the challenging party."*</w:t>
            </w:r>
          </w:p>
        </w:tc>
      </w:tr>
      <w:tr>
        <w:tc>
          <w:p>
            <w:r>
              <w:rPr>
                <w:rFonts w:ascii="Kalpurush" w:cs="Kalpurush" w:eastAsia="Kalpurush" w:hAnsi="Kalpurush"/>
                <w:b/>
                <w:bCs/>
                <w:sz w:val="20"/>
                <w:szCs w:val="20"/>
              </w:rPr>
              <w:t xml:space="preserve">45 DLR (AD) 124</w:t>
            </w:r>
            <w:r>
              <w:rPr>
                <w:rFonts w:ascii="Kalpurush" w:cs="Kalpurush" w:eastAsia="Kalpurush" w:hAnsi="Kalpurush"/>
                <w:sz w:val="20"/>
                <w:szCs w:val="20"/>
              </w:rPr>
              <w:t xml:space="preserve"> *(Nuruddin Ahmed)*</w:t>
            </w:r>
          </w:p>
        </w:tc>
        <w:tc>
          <w:p>
            <w:r>
              <w:rPr>
                <w:rFonts w:ascii="Kalpurush" w:cs="Kalpurush" w:eastAsia="Kalpurush" w:hAnsi="Kalpurush"/>
                <w:sz w:val="20"/>
                <w:szCs w:val="20"/>
              </w:rPr>
              <w:t xml:space="preserve">*"A trial court errs in law when it requires the plaintiff to disprove every counter-assertion instead of holding the challenger to their onus."*</w:t>
            </w:r>
          </w:p>
        </w:tc>
      </w:tr>
      <w:tr>
        <w:tc>
          <w:p>
            <w:r>
              <w:rPr>
                <w:rFonts w:ascii="Kalpurush" w:cs="Kalpurush" w:eastAsia="Kalpurush" w:hAnsi="Kalpurush"/>
                <w:b/>
                <w:bCs/>
                <w:sz w:val="20"/>
                <w:szCs w:val="20"/>
              </w:rPr>
              <w:t xml:space="preserve">53 DLR 19</w:t>
            </w:r>
            <w:r>
              <w:rPr>
                <w:rFonts w:ascii="Kalpurush" w:cs="Kalpurush" w:eastAsia="Kalpurush" w:hAnsi="Kalpurush"/>
                <w:sz w:val="20"/>
                <w:szCs w:val="20"/>
              </w:rPr>
              <w:t xml:space="preserve"> *(Shahera Khatun)*</w:t>
            </w:r>
          </w:p>
        </w:tc>
        <w:tc>
          <w:p>
            <w:r>
              <w:rPr>
                <w:rFonts w:ascii="Kalpurush" w:cs="Kalpurush" w:eastAsia="Kalpurush" w:hAnsi="Kalpurush"/>
                <w:sz w:val="20"/>
                <w:szCs w:val="20"/>
              </w:rPr>
              <w:t xml:space="preserve">*"A volume note or mutation entry carries no statutory presumption of correctness without the underlying parent order."*</w:t>
            </w:r>
          </w:p>
        </w:tc>
      </w:tr>
      <w:tr>
        <w:tc>
          <w:p>
            <w:r>
              <w:rPr>
                <w:rFonts w:ascii="Kalpurush" w:cs="Kalpurush" w:eastAsia="Kalpurush" w:hAnsi="Kalpurush"/>
                <w:b/>
                <w:bCs/>
                <w:sz w:val="20"/>
                <w:szCs w:val="20"/>
              </w:rPr>
              <w:t xml:space="preserve">1 BLT (HD) 18</w:t>
            </w:r>
            <w:r>
              <w:rPr>
                <w:rFonts w:ascii="Kalpurush" w:cs="Kalpurush" w:eastAsia="Kalpurush" w:hAnsi="Kalpurush"/>
                <w:sz w:val="20"/>
                <w:szCs w:val="20"/>
              </w:rPr>
              <w:t xml:space="preserve"> *(Fazlur Rahman)*</w:t>
            </w:r>
          </w:p>
        </w:tc>
        <w:tc>
          <w:p>
            <w:r>
              <w:rPr>
                <w:rFonts w:ascii="Kalpurush" w:cs="Kalpurush" w:eastAsia="Kalpurush" w:hAnsi="Kalpurush"/>
                <w:sz w:val="20"/>
                <w:szCs w:val="20"/>
              </w:rPr>
              <w:t xml:space="preserve">*"SA Khatian changes made in separate ink or handwriting without a parent judicial order sheet are invalid and legally ineffective."*</w:t>
            </w:r>
          </w:p>
        </w:tc>
      </w:tr>
      <w:tr>
        <w:tc>
          <w:p>
            <w:r>
              <w:rPr>
                <w:rFonts w:ascii="Kalpurush" w:cs="Kalpurush" w:eastAsia="Kalpurush" w:hAnsi="Kalpurush"/>
                <w:b/>
                <w:bCs/>
                <w:sz w:val="20"/>
                <w:szCs w:val="20"/>
              </w:rPr>
              <w:t xml:space="preserve">27 BLD (HD) 544</w:t>
            </w:r>
            <w:r>
              <w:rPr>
                <w:rFonts w:ascii="Kalpurush" w:cs="Kalpurush" w:eastAsia="Kalpurush" w:hAnsi="Kalpurush"/>
                <w:sz w:val="20"/>
                <w:szCs w:val="20"/>
              </w:rPr>
              <w:t xml:space="preserve"> *(Malay Miah)*</w:t>
            </w:r>
          </w:p>
        </w:tc>
        <w:tc>
          <w:p>
            <w:r>
              <w:rPr>
                <w:rFonts w:ascii="Kalpurush" w:cs="Kalpurush" w:eastAsia="Kalpurush" w:hAnsi="Kalpurush"/>
                <w:sz w:val="20"/>
                <w:szCs w:val="20"/>
              </w:rPr>
              <w:t xml:space="preserve">*"Question of title cannot be decided in a miscellaneous proceeding. Declaration of title requires a properly constituted civil suit."*</w:t>
            </w:r>
          </w:p>
        </w:tc>
      </w:tr>
      <w:tr>
        <w:tc>
          <w:p>
            <w:r>
              <w:rPr>
                <w:rFonts w:ascii="Kalpurush" w:cs="Kalpurush" w:eastAsia="Kalpurush" w:hAnsi="Kalpurush"/>
                <w:b/>
                <w:bCs/>
                <w:sz w:val="20"/>
                <w:szCs w:val="20"/>
              </w:rPr>
              <w:t xml:space="preserve">12 BLC (AD) 79</w:t>
            </w:r>
            <w:r>
              <w:rPr>
                <w:rFonts w:ascii="Kalpurush" w:cs="Kalpurush" w:eastAsia="Kalpurush" w:hAnsi="Kalpurush"/>
                <w:sz w:val="20"/>
                <w:szCs w:val="20"/>
              </w:rPr>
              <w:t xml:space="preserve"> *(Harun-al-Rashid)*</w:t>
            </w:r>
          </w:p>
        </w:tc>
        <w:tc>
          <w:p>
            <w:r>
              <w:rPr>
                <w:rFonts w:ascii="Kalpurush" w:cs="Kalpurush" w:eastAsia="Kalpurush" w:hAnsi="Kalpurush"/>
                <w:sz w:val="20"/>
                <w:szCs w:val="20"/>
              </w:rPr>
              <w:t xml:space="preserve">*"Settlement or rent receipts of Court of Wards / Dhaka Nawab Estate without the written approval of the Chief Manager are void ab initio and confer no title."*</w:t>
            </w:r>
          </w:p>
        </w:tc>
      </w:tr>
      <w:tr>
        <w:tc>
          <w:p>
            <w:r>
              <w:rPr>
                <w:rFonts w:ascii="Kalpurush" w:cs="Kalpurush" w:eastAsia="Kalpurush" w:hAnsi="Kalpurush"/>
                <w:b/>
                <w:bCs/>
                <w:sz w:val="20"/>
                <w:szCs w:val="20"/>
              </w:rPr>
              <w:t xml:space="preserve">4 SCOB [2015] HCD 52</w:t>
            </w:r>
            <w:r>
              <w:rPr>
                <w:rFonts w:ascii="Kalpurush" w:cs="Kalpurush" w:eastAsia="Kalpurush" w:hAnsi="Kalpurush"/>
                <w:sz w:val="20"/>
                <w:szCs w:val="20"/>
              </w:rPr>
              <w:t xml:space="preserve"> *(Shajahan Bhuiyan)*</w:t>
            </w:r>
          </w:p>
        </w:tc>
        <w:tc>
          <w:p>
            <w:r>
              <w:rPr>
                <w:rFonts w:ascii="Kalpurush" w:cs="Kalpurush" w:eastAsia="Kalpurush" w:hAnsi="Kalpurush"/>
                <w:sz w:val="20"/>
                <w:szCs w:val="20"/>
              </w:rPr>
              <w:t xml:space="preserve">*"Irrespective of whatever title or right was acquired by virtue of the unregistered patta, it had extinguished as a result of State Acquisition under Section 86 of the SAT Act."*</w:t>
            </w:r>
          </w:p>
        </w:tc>
      </w:tr>
      <w:tr>
        <w:tc>
          <w:p>
            <w:r>
              <w:rPr>
                <w:rFonts w:ascii="Kalpurush" w:cs="Kalpurush" w:eastAsia="Kalpurush" w:hAnsi="Kalpurush"/>
                <w:b/>
                <w:bCs/>
                <w:sz w:val="20"/>
                <w:szCs w:val="20"/>
              </w:rPr>
              <w:t xml:space="preserve">18 SCOB [2023] AD 20</w:t>
            </w:r>
            <w:r>
              <w:rPr>
                <w:rFonts w:ascii="Kalpurush" w:cs="Kalpurush" w:eastAsia="Kalpurush" w:hAnsi="Kalpurush"/>
                <w:sz w:val="20"/>
                <w:szCs w:val="20"/>
              </w:rPr>
              <w:t xml:space="preserve"> *(Mrigangka Mohan Dhali)*</w:t>
            </w:r>
          </w:p>
        </w:tc>
        <w:tc>
          <w:p>
            <w:r>
              <w:rPr>
                <w:rFonts w:ascii="Kalpurush" w:cs="Kalpurush" w:eastAsia="Kalpurush" w:hAnsi="Kalpurush"/>
                <w:sz w:val="20"/>
                <w:szCs w:val="20"/>
              </w:rPr>
              <w:t xml:space="preserve">*"An administrative ROR entry or procured mutation note cannot override an established title or statutory presumption attached to a finally published record."*</w:t>
            </w:r>
          </w:p>
        </w:tc>
      </w:tr>
      <w:tr>
        <w:tc>
          <w:p>
            <w:r>
              <w:rPr>
                <w:rFonts w:ascii="Kalpurush" w:cs="Kalpurush" w:eastAsia="Kalpurush" w:hAnsi="Kalpurush"/>
                <w:b/>
                <w:bCs/>
                <w:sz w:val="20"/>
                <w:szCs w:val="20"/>
              </w:rPr>
              <w:t xml:space="preserve">49 DLR (AD) 15</w:t>
            </w:r>
            <w:r>
              <w:rPr>
                <w:rFonts w:ascii="Kalpurush" w:cs="Kalpurush" w:eastAsia="Kalpurush" w:hAnsi="Kalpurush"/>
                <w:sz w:val="20"/>
                <w:szCs w:val="20"/>
              </w:rPr>
              <w:t xml:space="preserve"> *(Safaruddin)*</w:t>
            </w:r>
          </w:p>
        </w:tc>
        <w:tc>
          <w:p>
            <w:r>
              <w:rPr>
                <w:rFonts w:ascii="Kalpurush" w:cs="Kalpurush" w:eastAsia="Kalpurush" w:hAnsi="Kalpurush"/>
                <w:sz w:val="20"/>
                <w:szCs w:val="20"/>
              </w:rPr>
              <w:t xml:space="preserve">*"The Government is not a necessary party in a private partition suit between co-sharers where no relief is sought against the State."*</w:t>
            </w:r>
          </w:p>
        </w:tc>
      </w:tr>
      <w:tr>
        <w:tc>
          <w:p>
            <w:r>
              <w:rPr>
                <w:rFonts w:ascii="Kalpurush" w:cs="Kalpurush" w:eastAsia="Kalpurush" w:hAnsi="Kalpurush"/>
                <w:b/>
                <w:bCs/>
                <w:sz w:val="20"/>
                <w:szCs w:val="20"/>
              </w:rPr>
              <w:t xml:space="preserve">27 BLD (HD) 229</w:t>
            </w:r>
            <w:r>
              <w:rPr>
                <w:rFonts w:ascii="Kalpurush" w:cs="Kalpurush" w:eastAsia="Kalpurush" w:hAnsi="Kalpurush"/>
                <w:sz w:val="20"/>
                <w:szCs w:val="20"/>
              </w:rPr>
              <w:t xml:space="preserve"> *(Shahjahan Akon)*</w:t>
            </w:r>
          </w:p>
        </w:tc>
        <w:tc>
          <w:p>
            <w:r>
              <w:rPr>
                <w:rFonts w:ascii="Kalpurush" w:cs="Kalpurush" w:eastAsia="Kalpurush" w:hAnsi="Kalpurush"/>
                <w:sz w:val="20"/>
                <w:szCs w:val="20"/>
              </w:rPr>
              <w:t xml:space="preserve">*"Separate khatians create separate tenancies; no hotchpot defect arises from leaving out adjacent government plots or land under different tenancies."*</w:t>
            </w:r>
          </w:p>
        </w:tc>
      </w:tr>
    </w:tbl>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এই আপীলের উত্তরহীন ৪টি প্রাতিষ্ঠানিক প্রশ্ন (4 Unanswered Questions)</w:t>
      </w:r>
    </w:p>
    <w:p>
      <w:r>
        <w:rPr>
          <w:rFonts w:ascii="Kalpurush" w:cs="Kalpurush" w:eastAsia="Kalpurush" w:hAnsi="Kalpurush"/>
        </w:rPr>
        <w:t xml:space="preserve"/>
      </w:r>
    </w:p>
    <w:p>
      <w:r>
        <w:rPr>
          <w:rFonts w:ascii="Kalpurush" w:cs="Kalpurush" w:eastAsia="Kalpurush" w:hAnsi="Kalpurush"/>
          <w:sz w:val="20"/>
          <w:szCs w:val="20"/>
        </w:rPr>
        <w:t xml:space="preserve">১. </w:t>
      </w:r>
      <w:r>
        <w:rPr>
          <w:rFonts w:ascii="Kalpurush" w:cs="Kalpurush" w:eastAsia="Kalpurush" w:hAnsi="Kalpurush"/>
          <w:b/>
          <w:bCs/>
          <w:sz w:val="20"/>
          <w:szCs w:val="20"/>
        </w:rPr>
        <w:t xml:space="preserve">District Collector Record Room-এর মূল SA খতিয়ান আজও অপরিবর্তিত কেন?</w:t>
      </w:r>
    </w:p>
    <w:p>
      <w:r>
        <w:rPr>
          <w:rFonts w:ascii="Kalpurush" w:cs="Kalpurush" w:eastAsia="Kalpurush" w:hAnsi="Kalpurush"/>
          <w:sz w:val="20"/>
          <w:szCs w:val="20"/>
        </w:rPr>
        <w:t xml:space="preserve">২. </w:t>
      </w:r>
      <w:r>
        <w:rPr>
          <w:rFonts w:ascii="Kalpurush" w:cs="Kalpurush" w:eastAsia="Kalpurush" w:hAnsi="Kalpurush"/>
          <w:b/>
          <w:bCs/>
          <w:sz w:val="20"/>
          <w:szCs w:val="20"/>
        </w:rPr>
        <w:t xml:space="preserve">Register of Alterations-এ কোনো সংশোধনের Entry নাই কেন?</w:t>
      </w:r>
    </w:p>
    <w:p>
      <w:r>
        <w:rPr>
          <w:rFonts w:ascii="Kalpurush" w:cs="Kalpurush" w:eastAsia="Kalpurush" w:hAnsi="Kalpurush"/>
          <w:sz w:val="20"/>
          <w:szCs w:val="20"/>
        </w:rPr>
        <w:t xml:space="preserve">৩. </w:t>
      </w:r>
      <w:r>
        <w:rPr>
          <w:rFonts w:ascii="Kalpurush" w:cs="Kalpurush" w:eastAsia="Kalpurush" w:hAnsi="Kalpurush"/>
          <w:b/>
          <w:bCs/>
          <w:sz w:val="20"/>
          <w:szCs w:val="20"/>
        </w:rPr>
        <w:t xml:space="preserve">কথিত সংশোধিত খতিয়ানের Certified Copy কোথায়?</w:t>
      </w:r>
    </w:p>
    <w:p>
      <w:r>
        <w:rPr>
          <w:rFonts w:ascii="Kalpurush" w:cs="Kalpurush" w:eastAsia="Kalpurush" w:hAnsi="Kalpurush"/>
          <w:sz w:val="20"/>
          <w:szCs w:val="20"/>
        </w:rPr>
        <w:t xml:space="preserve">৪. </w:t>
      </w:r>
      <w:r>
        <w:rPr>
          <w:rFonts w:ascii="Kalpurush" w:cs="Kalpurush" w:eastAsia="Kalpurush" w:hAnsi="Kalpurush"/>
          <w:b/>
          <w:bCs/>
          <w:sz w:val="20"/>
          <w:szCs w:val="20"/>
        </w:rPr>
        <w:t xml:space="preserve">কথিত সংশোধনে সোনাভানুর অন্য দুই বোন (বেলুয়া ও কমলা)-র নাম বাদ পড়িল কেন?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১০টি অগ্রাধিকারপ্রাপ্ত তীক্ষ্ণ প্রশ্ন ও সুনির্দিষ্ট মৌখিক জবাব (Bench Q&amp;As)</w:t>
      </w:r>
    </w:p>
    <w:p>
      <w:r>
        <w:rPr>
          <w:rFonts w:ascii="Kalpurush" w:cs="Kalpurush" w:eastAsia="Kalpurush" w:hAnsi="Kalpurush"/>
        </w:rPr>
        <w:t xml:space="preserve"/>
      </w:r>
    </w:p>
    <w:p>
      <w:r>
        <w:rPr>
          <w:rFonts w:ascii="Kalpurush" w:cs="Kalpurush" w:eastAsia="Kalpurush" w:hAnsi="Kalpurush"/>
          <w:b/>
          <w:bCs/>
          <w:sz w:val="20"/>
          <w:szCs w:val="20"/>
        </w:rPr>
        <w:t xml:space="preserve">Q1: বিবাদীরা Misc Case 1181/1969-এর সার্টিফাইড কপি বা মূল ফাইল কেন দাখিল করতে পারে নাই?</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বিবাদীরা Misc Case-এর সার্টিফাইড কপি দিতে পারেন নাই কারণ বাস্তবে কোনো বিচারিক আদেশ আদালতে প্রমাণিত হয় নাই এবং তাহারা মূল ফাইলও সমন করেননি। Evidence Act Section 103 ও 114(g) অনুযায়ী প্রমাণের দায়িত্ব বিবাদীদের ছিল।"*</w:t>
      </w:r>
    </w:p>
    <w:p>
      <w:r>
        <w:rPr>
          <w:rFonts w:ascii="Kalpurush" w:cs="Kalpurush" w:eastAsia="Kalpurush" w:hAnsi="Kalpurush"/>
        </w:rPr>
        <w:t xml:space="preserve"/>
      </w:r>
    </w:p>
    <w:p>
      <w:r>
        <w:rPr>
          <w:rFonts w:ascii="Kalpurush" w:cs="Kalpurush" w:eastAsia="Kalpurush" w:hAnsi="Kalpurush"/>
          <w:b/>
          <w:bCs/>
          <w:sz w:val="20"/>
          <w:szCs w:val="20"/>
        </w:rPr>
        <w:t xml:space="preserve">Q2: AC Land ভলিউম নোটের আইনি গুরুত্ব কতটুকু?</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53 DLR 19 এবং 1 BLT 18 অনুযায়ী Parent Order ছাড়া Volume Note-এর কোনো স্বাধীন presumptive value নাই। foundational order না থাকলে consequential note স্বত্ব প্রমাণ করতে পারে না।"*</w:t>
      </w:r>
    </w:p>
    <w:p>
      <w:r>
        <w:rPr>
          <w:rFonts w:ascii="Kalpurush" w:cs="Kalpurush" w:eastAsia="Kalpurush" w:hAnsi="Kalpurush"/>
        </w:rPr>
        <w:t xml:space="preserve"/>
      </w:r>
    </w:p>
    <w:p>
      <w:r>
        <w:rPr>
          <w:rFonts w:ascii="Kalpurush" w:cs="Kalpurush" w:eastAsia="Kalpurush" w:hAnsi="Kalpurush"/>
          <w:b/>
          <w:bCs/>
          <w:sz w:val="20"/>
          <w:szCs w:val="20"/>
        </w:rPr>
        <w:t xml:space="preserve">Q3: রাজস্ব কর্মকর্তা (AC Land) কি মিউটেশনে স্বত্ব পরিবর্তন করতে পারেন?</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18 BLC 235 এবং 29 BLC 160 অনুযায়ী AC Land আদালত নন। নামজারির প্রশাসনিক এখতিয়ারে কারো মূল প্রজা স্বত্ব কর্তন করার ক্ষমতা তাঁহার নাই।"*</w:t>
      </w:r>
    </w:p>
    <w:p>
      <w:r>
        <w:rPr>
          <w:rFonts w:ascii="Kalpurush" w:cs="Kalpurush" w:eastAsia="Kalpurush" w:hAnsi="Kalpurush"/>
        </w:rPr>
        <w:t xml:space="preserve"/>
      </w:r>
    </w:p>
    <w:p>
      <w:r>
        <w:rPr>
          <w:rFonts w:ascii="Kalpurush" w:cs="Kalpurush" w:eastAsia="Kalpurush" w:hAnsi="Kalpurush"/>
          <w:b/>
          <w:bCs/>
          <w:sz w:val="20"/>
          <w:szCs w:val="20"/>
        </w:rPr>
        <w:t xml:space="preserve">Q4: প্রাক-SA যুগের ১৩৩৪ বঙ্গাব্দের পত্তনের আইনি স্থিতি কি?</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4 SCOB [2015] HCD 52 অনুযায়ী SAT Act-এর ধারা ৮৬ মূলে প্রাক-SA যুগের যেকোনো অনিবন্ধিত পত্তন খতিয়ানের বিপরীতে কার্যকর থাকে না। অধিকন্তু CS ২ খতিয়ানে জমিটি নবাব এস্টেটের খাস জমি ছিল।"*</w:t>
      </w:r>
    </w:p>
    <w:p>
      <w:r>
        <w:rPr>
          <w:rFonts w:ascii="Kalpurush" w:cs="Kalpurush" w:eastAsia="Kalpurush" w:hAnsi="Kalpurush"/>
        </w:rPr>
        <w:t xml:space="preserve"/>
      </w:r>
    </w:p>
    <w:p>
      <w:r>
        <w:rPr>
          <w:rFonts w:ascii="Kalpurush" w:cs="Kalpurush" w:eastAsia="Kalpurush" w:hAnsi="Kalpurush"/>
          <w:b/>
          <w:bCs/>
          <w:sz w:val="20"/>
          <w:szCs w:val="20"/>
        </w:rPr>
        <w:t xml:space="preserve">Q5: বিবাদীদের ১৯৭৫ সালের দলিল (Deed 3596/1975) কীভাবে তাহাদের দাবিকে দুর্বল করে?</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বিবাদীদের তলবি ভলিউমে এবং জেরার বক্তব্যে SA ২৩৮-এ দাগ মাত্র ১টি বলা হইয়াছে। অথচ ১৯৭৫ সালে তাহাদের নিজ দলিলেই ৬টি দাগের বিবরণ রহিয়াছে (Exhibit Kha-1)। এটি একটি অখণ্ডনীয় দালিলিক স্ববিরোধিতা।"*</w:t>
      </w:r>
    </w:p>
    <w:p>
      <w:r>
        <w:rPr>
          <w:rFonts w:ascii="Kalpurush" w:cs="Kalpurush" w:eastAsia="Kalpurush" w:hAnsi="Kalpurush"/>
        </w:rPr>
        <w:t xml:space="preserve"/>
      </w:r>
    </w:p>
    <w:p>
      <w:r>
        <w:rPr>
          <w:rFonts w:ascii="Kalpurush" w:cs="Kalpurush" w:eastAsia="Kalpurush" w:hAnsi="Kalpurush"/>
          <w:b/>
          <w:bCs/>
          <w:sz w:val="20"/>
          <w:szCs w:val="20"/>
        </w:rPr>
        <w:t xml:space="preserve">Q6: সরকারি জমি বাদ পড়ায় কি আংশিক বাটোয়ারার (Hotchpot) দোষ হইয়াছে?</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না। 27 BLD 229 অনুযায়ী পৃথক খতিয়ানের জমি বা সরকারের জমি ব্যক্তিমালিকানাধীন বাটোয়ারায় আনা বাধ্যতামূলক নয়। The alleged Government land is neither claimed by the plaintiffs nor sought to be partitioned."*</w:t>
      </w:r>
    </w:p>
    <w:p>
      <w:r>
        <w:rPr>
          <w:rFonts w:ascii="Kalpurush" w:cs="Kalpurush" w:eastAsia="Kalpurush" w:hAnsi="Kalpurush"/>
        </w:rPr>
        <w:t xml:space="preserve"/>
      </w:r>
    </w:p>
    <w:p>
      <w:r>
        <w:rPr>
          <w:rFonts w:ascii="Kalpurush" w:cs="Kalpurush" w:eastAsia="Kalpurush" w:hAnsi="Kalpurush"/>
          <w:b/>
          <w:bCs/>
          <w:sz w:val="20"/>
          <w:szCs w:val="20"/>
        </w:rPr>
        <w:t xml:space="preserve">Q7: সরকারকে পক্ষ না করায় কি মামলা খারিজ হইতে পারে?</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আপীল বিভাগের 49 DLR (AD) 15 (Safaruddin Case) অনুযায়ী সহ-শরীকদের বাটোয়ারা মামলায় সরকার কোনো আবশ্যকীয় পক্ষ (Necessary Party) নয়।"*</w:t>
      </w:r>
    </w:p>
    <w:p>
      <w:r>
        <w:rPr>
          <w:rFonts w:ascii="Kalpurush" w:cs="Kalpurush" w:eastAsia="Kalpurush" w:hAnsi="Kalpurush"/>
        </w:rPr>
        <w:t xml:space="preserve"/>
      </w:r>
    </w:p>
    <w:p>
      <w:r>
        <w:rPr>
          <w:rFonts w:ascii="Kalpurush" w:cs="Kalpurush" w:eastAsia="Kalpurush" w:hAnsi="Kalpurush"/>
          <w:b/>
          <w:bCs/>
          <w:sz w:val="20"/>
          <w:szCs w:val="20"/>
        </w:rPr>
        <w:t xml:space="preserve">Q8: DW-4 জেরায় কি স্বীকার করিয়াছেন?</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DW-4 স্বীকার করিয়াছেন ভলিউম নোটটি ভিন্ন কালিতে লিখিত, মূল প্রজার নাম বলেন 'আব্দুল আলীম' এবং তিনি লেখককে চিহ্নিত করতে পারেননি বা মূল ফাইল দেখাতে পারেননি।"*</w:t>
      </w:r>
    </w:p>
    <w:p>
      <w:r>
        <w:rPr>
          <w:rFonts w:ascii="Kalpurush" w:cs="Kalpurush" w:eastAsia="Kalpurush" w:hAnsi="Kalpurush"/>
        </w:rPr>
        <w:t xml:space="preserve"/>
      </w:r>
    </w:p>
    <w:p>
      <w:r>
        <w:rPr>
          <w:rFonts w:ascii="Kalpurush" w:cs="Kalpurush" w:eastAsia="Kalpurush" w:hAnsi="Kalpurush"/>
          <w:b/>
          <w:bCs/>
          <w:sz w:val="20"/>
          <w:szCs w:val="20"/>
        </w:rPr>
        <w:t xml:space="preserve">Q9: সোনাভানুর বোনদের নাম বাদ পড়া কেন তাৎপর্যপূর্ণ?</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আব্দুল করিমের মৃত্যুর পর কেবল সোনাভানুর নাম ঢোকা এবং বেলুয়া ও কমলার নাম বাদ পড়া প্রমাণ করে কথিত সংশোধনের দাবি স্বাভাবিক উত্তরাধিকারের সাথে সামঞ্জস্যপূর্ণ নয়।"*</w:t>
      </w:r>
    </w:p>
    <w:p>
      <w:r>
        <w:rPr>
          <w:rFonts w:ascii="Kalpurush" w:cs="Kalpurush" w:eastAsia="Kalpurush" w:hAnsi="Kalpurush"/>
        </w:rPr>
        <w:t xml:space="preserve"/>
      </w:r>
    </w:p>
    <w:p>
      <w:r>
        <w:rPr>
          <w:rFonts w:ascii="Kalpurush" w:cs="Kalpurush" w:eastAsia="Kalpurush" w:hAnsi="Kalpurush"/>
          <w:b/>
          <w:bCs/>
          <w:sz w:val="20"/>
          <w:szCs w:val="20"/>
        </w:rPr>
        <w:t xml:space="preserve">Q10: জেলা প্রশাসকের রেকর্ড রুমের অপরিবর্তিত খতিয়ানের গুরুত্ব কি?</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জেলা প্রশাসকের কেন্দ্রীয় রেকর্ড রুমই Statutory ROR-এর একমাত্র সংবিধিবদ্ধ অভিভাবক। ৫০ বছর সেখানে মূল খতিয়ান অপরিবর্তিত থাকা প্রমাণ করে স্থানীয় ভলিউমের নোট নির্ভরযোগ্য আইনি সমর্থনহীন।"*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সমাপনী মৌখিক প্রার্থনা (Closing Spoken Prayer)</w:t>
      </w:r>
    </w:p>
    <w:p>
      <w:r>
        <w:rPr>
          <w:rFonts w:ascii="Kalpurush" w:cs="Kalpurush" w:eastAsia="Kalpurush" w:hAnsi="Kalpurush"/>
        </w:rPr>
        <w:t xml:space="preserve"/>
      </w:r>
    </w:p>
    <w:p>
      <w:pPr>
        <w:ind w:left="720"/>
      </w:pPr>
      <w:r>
        <w:rPr>
          <w:rFonts w:ascii="Kalpurush" w:cs="Kalpurush" w:eastAsia="Kalpurush" w:hAnsi="Kalpurush"/>
          <w:i/>
          <w:iCs/>
          <w:sz w:val="20"/>
          <w:szCs w:val="20"/>
        </w:rPr>
        <w:t xml:space="preserve">*"মহামান্য আদালত, আমাদের বিনীত বক্তব্য খুব সীমিত এবং সুনির্দিষ্ট: </w:t>
      </w:r>
      <w:r>
        <w:rPr>
          <w:rFonts w:ascii="Kalpurush" w:cs="Kalpurush" w:eastAsia="Kalpurush" w:hAnsi="Kalpurush"/>
          <w:b/>
          <w:bCs/>
          <w:i/>
          <w:iCs/>
          <w:sz w:val="20"/>
          <w:szCs w:val="20"/>
        </w:rPr>
        <w:t xml:space="preserve">We do not ask the Court to hold that a finally published SA record can never be wrong. We ask the Court to require the party challenging that record to prove how, when and by what lawful instrument it was displaced.</w:t>
      </w:r>
      <w:r>
        <w:rPr>
          <w:rFonts w:ascii="Kalpurush" w:cs="Kalpurush" w:eastAsia="Kalpurush" w:hAnsi="Kalpurush"/>
          <w:i/>
          <w:iCs/>
          <w:sz w:val="20"/>
          <w:szCs w:val="20"/>
        </w:rPr>
        <w:t xml:space="preserve"> বিবাদীপক্ষ সেই প্রমাণ দিতে সম্পূর্ণ ব্যর্থ হইয়াছে। অতএব সখিপুর সিভিল জজ আদালতের ০৫/০৪/২০২৬ তারিখের খারিজ রায় ও ০৯/০৪/২০২৬ তারিখের ডিক্রি বাতিল করিয়া SA ২৩৮ নং খতিয়ানের ভিত্তিতে বাদীদের অনুকূলে প্রাথমিক ডিক্রি (Preliminary Decree) প্রদানের প্রার্থনা জানাইতেছি।"*</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r>
        <w:rPr>
          <w:rFonts w:ascii="Kalpurush" w:cs="Kalpurush" w:eastAsia="Kalpurush" w:hAnsi="Kalpurush"/>
          <w:b/>
          <w:bCs/>
          <w:sz w:val="20"/>
          <w:szCs w:val="20"/>
        </w:rPr>
        <w:t xml:space="preserve">আপীল্যান্টপক্ষের আইনজীবী | জেলা জজ আদালত, টাঙ্গাইল | আপীল মামলা নং ৩৮/২০২৬</w:t>
      </w:r>
    </w:p>
    <w:p>
      <w:r>
        <w:rPr>
          <w:rFonts w:ascii="Kalpurush" w:cs="Kalpurush" w:eastAsia="Kalpurush" w:hAnsi="Kalpurush"/>
        </w:rPr>
        <w:t xml:space="preserve"/>
      </w:r>
    </w:p>
    <w:sectPr>
      <w:pgSz w:w="12240" w:h="2016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alpurush" w:cs="Kalpurush" w:eastAsia="Kalpurush" w:hAnsi="Kalpurush"/>
        <w:sz w:val="20"/>
        <w:szCs w:val="20"/>
      </w:rPr>
    </w:rPrDefault>
    <w:pPrDefault>
      <w:pPr>
        <w:spacing w:after="0" w:before="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2026-08-15T06:21:35.312Z</dcterms:created>
  <dcterms:modified xsi:type="dcterms:W3CDTF">2026-08-15T06:21:35.312Z</dcterms:modified>
</cp:coreProperties>
</file>

<file path=docProps/custom.xml><?xml version="1.0" encoding="utf-8"?>
<Properties xmlns="http://schemas.openxmlformats.org/officeDocument/2006/custom-properties" xmlns:vt="http://schemas.openxmlformats.org/officeDocument/2006/docPropsVTypes"/>
</file>