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হাতেম আলী ও অন্যান্য বনাম আলহাজ উদ্দিন ও অন্যান্য</w:t>
      </w:r>
    </w:p>
    <w:p>
      <w:r>
        <w:rPr>
          <w:rFonts w:ascii="Kalpurush" w:cs="Kalpurush" w:eastAsia="Kalpurush" w:hAnsi="Kalpurush"/>
          <w:b/>
          <w:bCs/>
          <w:sz w:val="20"/>
          <w:szCs w:val="20"/>
        </w:rPr>
        <w:t xml:space="preserve">আপীল্যান্টপক্ষের পূর্ণাঙ্গ লিখিত যুক্তিতর্ক (Version 58)</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sz w:val="20"/>
          <w:szCs w:val="20"/>
        </w:rPr>
        <w:t xml:space="preserve">এই আপীলের মূল বিষয়বস্তু কেবলমাত্র এস.এ ২৩৮ খতিয়ানের শুদ্ধতা প্রমাণ করা নহে। বরং, বিজ্ঞ ট্রায়াল কোর্ট কীভাবে একটি অপ্রমাণিত মূল স্বত্ব (Root Title)-এর উপর ভিত্তি করিয়া এবং সম্পূর্ণ বেআইনিভাবে প্রমাণের দায়ভার (Burden of Proof) উল্টাইয়া দিয়া একটি State Record-কে বাতিল করিয়াছেন, তাহা আদালতের নজরে আনাই এই আপীলের উদ্দেশ্য।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অধ্যায় ১: আব্দুল করিমের 'মূল স্বত্ব' প্রমাণে ব্যর্থতা (Failure to Prove Root Tenancy)</w:t>
      </w:r>
    </w:p>
    <w:p>
      <w:r>
        <w:rPr>
          <w:rFonts w:ascii="Kalpurush" w:cs="Kalpurush" w:eastAsia="Kalpurush" w:hAnsi="Kalpurush"/>
        </w:rPr>
        <w:t xml:space="preserve"/>
      </w:r>
    </w:p>
    <w:p>
      <w:r>
        <w:rPr>
          <w:rFonts w:ascii="Kalpurush" w:cs="Kalpurush" w:eastAsia="Kalpurush" w:hAnsi="Kalpurush"/>
          <w:b/>
          <w:bCs/>
          <w:sz w:val="20"/>
          <w:szCs w:val="20"/>
        </w:rPr>
        <w:t xml:space="preserve">ট্রায়াল কোর্টের ভুল অনুমান:</w:t>
      </w:r>
    </w:p>
    <w:p>
      <w:r>
        <w:rPr>
          <w:rFonts w:ascii="Kalpurush" w:cs="Kalpurush" w:eastAsia="Kalpurush" w:hAnsi="Kalpurush"/>
          <w:sz w:val="20"/>
          <w:szCs w:val="20"/>
        </w:rPr>
        <w:t xml:space="preserve">বিবাদীরা দাবি করে, Abdul Karim acquired 349 decimals via Nawab Estate Patta in 1934. বিজ্ঞ আদালত কোনো দালিলিক প্রমাণ ছাড়াই এই দাবি মানিয়াছেন।</w:t>
      </w:r>
    </w:p>
    <w:p>
      <w:r>
        <w:rPr>
          <w:rFonts w:ascii="Kalpurush" w:cs="Kalpurush" w:eastAsia="Kalpurush" w:hAnsi="Kalpurush"/>
        </w:rPr>
        <w:t xml:space="preserve"/>
      </w:r>
    </w:p>
    <w:p>
      <w:r>
        <w:rPr>
          <w:rFonts w:ascii="Kalpurush" w:cs="Kalpurush" w:eastAsia="Kalpurush" w:hAnsi="Kalpurush"/>
          <w:b/>
          <w:bCs/>
          <w:sz w:val="20"/>
          <w:szCs w:val="20"/>
        </w:rPr>
        <w:t xml:space="preserve">আমাদের আইনি খণ্ডন:</w:t>
      </w:r>
    </w:p>
    <w:p>
      <w:r>
        <w:rPr>
          <w:rFonts w:ascii="Kalpurush" w:cs="Kalpurush" w:eastAsia="Kalpurush" w:hAnsi="Kalpurush"/>
          <w:sz w:val="20"/>
          <w:szCs w:val="20"/>
        </w:rPr>
        <w:t xml:space="preserve">The Trial Court accepted derivative title without proving root title. Absent a registered patta or estate return, Abdul Karim was never a legal tenant. Therefore, his heirs had nothing to inherit.</w:t>
      </w:r>
    </w:p>
    <w:p>
      <w:r>
        <w:rPr>
          <w:rFonts w:ascii="Kalpurush" w:cs="Kalpurush" w:eastAsia="Kalpurush" w:hAnsi="Kalpurush"/>
        </w:rPr>
        <w:t xml:space="preserve"/>
      </w:r>
    </w:p>
    <w:p>
      <w:r>
        <w:rPr>
          <w:rFonts w:ascii="Kalpurush" w:cs="Kalpurush" w:eastAsia="Kalpurush" w:hAnsi="Kalpurush"/>
          <w:b/>
          <w:bCs/>
          <w:sz w:val="20"/>
          <w:szCs w:val="20"/>
        </w:rPr>
        <w:t xml:space="preserve">ভুয়া দাখিলা (Rent Receipt Anomaly):</w:t>
      </w:r>
    </w:p>
    <w:p>
      <w:r>
        <w:rPr>
          <w:rFonts w:ascii="Kalpurush" w:cs="Kalpurush" w:eastAsia="Kalpurush" w:hAnsi="Kalpurush"/>
          <w:sz w:val="20"/>
          <w:szCs w:val="20"/>
        </w:rPr>
        <w:t xml:space="preserve">বিবাদীরা ১৯২৭ সালের (১৩৩৪ বঙ্গাব্দ) একটি দাখিলা দেখাইয়াছেন যাহার নম্বর ৩৪৯। অথচ বাদীপক্ষের ১৯৫০ সালের (১৩৫৭ বঙ্গাব্দ) দাখিলার নম্বর ৩৪০। ২৩ বছর আগের রসিদের ক্রমিক নম্বর কীভাবে পরের রসিদের চেয়ে বেশি হয়? ইহা প্রমাণ করে বিবাদীদের রসিদটি জালিয়াতি। অধিকন্তু, বিচ্ছিন্ন খাজনার রসিদ স্বত্ব সৃষ্টি করে না।</w:t>
      </w:r>
    </w:p>
    <w:p>
      <w:r>
        <w:rPr>
          <w:rFonts w:ascii="Kalpurush" w:cs="Kalpurush" w:eastAsia="Kalpurush" w:hAnsi="Kalpurush"/>
        </w:rPr>
        <w:t xml:space="preserve"/>
      </w:r>
    </w:p>
    <w:p>
      <w:r>
        <w:rPr>
          <w:rFonts w:ascii="Kalpurush" w:cs="Kalpurush" w:eastAsia="Kalpurush" w:hAnsi="Kalpurush"/>
          <w:b/>
          <w:bCs/>
          <w:sz w:val="20"/>
          <w:szCs w:val="20"/>
        </w:rPr>
        <w:t xml:space="preserve">সমর্থনকারী নজির:</w:t>
      </w:r>
    </w:p>
    <w:p>
      <w:pPr>
        <w:ind w:left="720"/>
      </w:pPr>
      <w:r>
        <w:rPr>
          <w:rFonts w:ascii="Kalpurush" w:cs="Kalpurush" w:eastAsia="Kalpurush" w:hAnsi="Kalpurush"/>
          <w:b/>
          <w:bCs/>
          <w:i/>
          <w:iCs/>
          <w:sz w:val="20"/>
          <w:szCs w:val="20"/>
        </w:rPr>
        <w:t xml:space="preserve">42 DLR (HD) 434</w:t>
      </w:r>
      <w:r>
        <w:rPr>
          <w:rFonts w:ascii="Kalpurush" w:cs="Kalpurush" w:eastAsia="Kalpurush" w:hAnsi="Kalpurush"/>
          <w:i/>
          <w:iCs/>
          <w:sz w:val="20"/>
          <w:szCs w:val="20"/>
        </w:rPr>
        <w:t xml:space="preserve"> (Noor Mohammad Khan &amp; ors ----- Appellants  </w:t>
      </w:r>
    </w:p>
    <w:p>
      <w:r>
        <w:rPr>
          <w:rFonts w:ascii="Kalpurush" w:cs="Kalpurush" w:eastAsia="Kalpurush" w:hAnsi="Kalpurush"/>
          <w:sz w:val="20"/>
          <w:szCs w:val="20"/>
        </w:rPr>
        <w:t xml:space="preserve">Vs. </w:t>
      </w:r>
    </w:p>
    <w:p>
      <w:r>
        <w:rPr>
          <w:rFonts w:ascii="Kalpurush" w:cs="Kalpurush" w:eastAsia="Kalpurush" w:hAnsi="Kalpurush"/>
          <w:sz w:val="20"/>
          <w:szCs w:val="20"/>
        </w:rPr>
        <w:t xml:space="preserve">Government of the People's Republic of Bangladesh &amp; ors ----- Respondents)</w:t>
      </w:r>
    </w:p>
    <w:p>
      <w:pPr>
        <w:ind w:left="720"/>
      </w:pPr>
      <w:r>
        <w:rPr>
          <w:rFonts w:ascii="Kalpurush" w:cs="Kalpurush" w:eastAsia="Kalpurush" w:hAnsi="Kalpurush"/>
          <w:b/>
          <w:bCs/>
          <w:i/>
          <w:iCs/>
          <w:sz w:val="20"/>
          <w:szCs w:val="20"/>
        </w:rPr>
        <w:t xml:space="preserve">30 DLR (AD) 41</w:t>
      </w:r>
      <w:r>
        <w:rPr>
          <w:rFonts w:ascii="Kalpurush" w:cs="Kalpurush" w:eastAsia="Kalpurush" w:hAnsi="Kalpurush"/>
          <w:i/>
          <w:iCs/>
          <w:sz w:val="20"/>
          <w:szCs w:val="20"/>
        </w:rPr>
        <w:t xml:space="preserve"> (Ajufannessa @ Aji Bibi and others  ------- Appellants.</w:t>
      </w:r>
    </w:p>
    <w:p>
      <w:r>
        <w:rPr>
          <w:rFonts w:ascii="Kalpurush" w:cs="Kalpurush" w:eastAsia="Kalpurush" w:hAnsi="Kalpurush"/>
          <w:sz w:val="20"/>
          <w:szCs w:val="20"/>
        </w:rPr>
        <w:t xml:space="preserve">Vs.</w:t>
      </w:r>
    </w:p>
    <w:p>
      <w:r>
        <w:rPr>
          <w:rFonts w:ascii="Kalpurush" w:cs="Kalpurush" w:eastAsia="Kalpurush" w:hAnsi="Kalpurush"/>
          <w:sz w:val="20"/>
          <w:szCs w:val="20"/>
        </w:rPr>
        <w:t xml:space="preserve">Safar Miah and others  ------- Respondents.)</w:t>
      </w:r>
    </w:p>
    <w:p>
      <w:pPr>
        <w:ind w:left="720"/>
      </w:pPr>
      <w:r>
        <w:rPr>
          <w:rFonts w:ascii="Kalpurush" w:cs="Kalpurush" w:eastAsia="Kalpurush" w:hAnsi="Kalpurush"/>
          <w:b/>
          <w:bCs/>
          <w:i/>
          <w:iCs/>
          <w:sz w:val="20"/>
          <w:szCs w:val="20"/>
        </w:rPr>
        <w:t xml:space="preserve">47 DLR (HD) 26</w:t>
      </w:r>
      <w:r>
        <w:rPr>
          <w:rFonts w:ascii="Kalpurush" w:cs="Kalpurush" w:eastAsia="Kalpurush" w:hAnsi="Kalpurush"/>
          <w:i/>
          <w:iCs/>
          <w:sz w:val="20"/>
          <w:szCs w:val="20"/>
        </w:rPr>
        <w:t xml:space="preserve"> (Mayurer Nessa and others ------ Appellants</w:t>
      </w:r>
    </w:p>
    <w:p>
      <w:r>
        <w:rPr>
          <w:rFonts w:ascii="Kalpurush" w:cs="Kalpurush" w:eastAsia="Kalpurush" w:hAnsi="Kalpurush"/>
          <w:sz w:val="20"/>
          <w:szCs w:val="20"/>
        </w:rPr>
        <w:t xml:space="preserve">vs</w:t>
      </w:r>
    </w:p>
    <w:p>
      <w:r>
        <w:rPr>
          <w:rFonts w:ascii="Kalpurush" w:cs="Kalpurush" w:eastAsia="Kalpurush" w:hAnsi="Kalpurush"/>
          <w:sz w:val="20"/>
          <w:szCs w:val="20"/>
        </w:rPr>
        <w:t xml:space="preserve">Julekha Khatoon and others ------ Respondents)</w:t>
      </w:r>
    </w:p>
    <w:p>
      <w:r>
        <w:rPr>
          <w:rFonts w:ascii="Kalpurush" w:cs="Kalpurush" w:eastAsia="Kalpurush" w:hAnsi="Kalpurush"/>
        </w:rPr>
        <w:t xml:space="preserve"/>
      </w:r>
    </w:p>
    <w:p>
      <w:pPr>
        <w:jc w:val="center"/>
      </w:pPr>
      <w:r>
        <w:t xml:space="preserve">--------------------------------------------------</w:t>
      </w:r>
    </w:p>
    <w:p>
      <w:pPr>
        <w:pStyle w:val="Heading1"/>
        <w:jc w:val="center"/>
      </w:pPr>
      <w:r>
        <w:rPr>
          <w:rFonts w:ascii="Kalpurush" w:cs="Kalpurush" w:eastAsia="Kalpurush" w:hAnsi="Kalpurush"/>
          <w:sz w:val="20"/>
          <w:szCs w:val="20"/>
        </w:rPr>
        <w:t xml:space="preserve">অধ্যায় ২: Misc Case-এর অনুপস্থিতি এবং প্রতিকূল অনুমান (Adverse Inference)</w:t>
      </w:r>
    </w:p>
    <w:p>
      <w:r>
        <w:rPr>
          <w:rFonts w:ascii="Kalpurush" w:cs="Kalpurush" w:eastAsia="Kalpurush" w:hAnsi="Kalpurush"/>
        </w:rPr>
        <w:t xml:space="preserve"/>
      </w:r>
    </w:p>
    <w:p>
      <w:r>
        <w:rPr>
          <w:rFonts w:ascii="Kalpurush" w:cs="Kalpurush" w:eastAsia="Kalpurush" w:hAnsi="Kalpurush"/>
          <w:b/>
          <w:bCs/>
          <w:sz w:val="20"/>
          <w:szCs w:val="20"/>
        </w:rPr>
        <w:t xml:space="preserve">ট্রায়াল কোর্টের ভুল অনুমান:</w:t>
      </w:r>
    </w:p>
    <w:p>
      <w:r>
        <w:rPr>
          <w:rFonts w:ascii="Kalpurush" w:cs="Kalpurush" w:eastAsia="Kalpurush" w:hAnsi="Kalpurush"/>
          <w:sz w:val="20"/>
          <w:szCs w:val="20"/>
        </w:rPr>
        <w:t xml:space="preserve">Sona Bhanu inherited a share and sued in 1st Munsif Court (Misc Case 1181/1969).</w:t>
      </w:r>
    </w:p>
    <w:p>
      <w:r>
        <w:rPr>
          <w:rFonts w:ascii="Kalpurush" w:cs="Kalpurush" w:eastAsia="Kalpurush" w:hAnsi="Kalpurush"/>
        </w:rPr>
        <w:t xml:space="preserve"/>
      </w:r>
    </w:p>
    <w:p>
      <w:r>
        <w:rPr>
          <w:rFonts w:ascii="Kalpurush" w:cs="Kalpurush" w:eastAsia="Kalpurush" w:hAnsi="Kalpurush"/>
          <w:b/>
          <w:bCs/>
          <w:sz w:val="20"/>
          <w:szCs w:val="20"/>
        </w:rPr>
        <w:t xml:space="preserve">আমাদের আইনি খণ্ডন:</w:t>
      </w:r>
    </w:p>
    <w:p>
      <w:r>
        <w:rPr>
          <w:rFonts w:ascii="Kalpurush" w:cs="Kalpurush" w:eastAsia="Kalpurush" w:hAnsi="Kalpurush"/>
          <w:sz w:val="20"/>
          <w:szCs w:val="20"/>
        </w:rPr>
        <w:t xml:space="preserve">The Trial Court illegally shifted the burden of proof. Plaintiffs proved SA Khatian (State Recognition). Defendants failed to produce the Misc Case decree. Court must presume the decree did not exist or was unfavorable.</w:t>
      </w:r>
    </w:p>
    <w:p>
      <w:r>
        <w:rPr>
          <w:rFonts w:ascii="Kalpurush" w:cs="Kalpurush" w:eastAsia="Kalpurush" w:hAnsi="Kalpurush"/>
        </w:rPr>
        <w:t xml:space="preserve"/>
      </w:r>
    </w:p>
    <w:p>
      <w:r>
        <w:rPr>
          <w:rFonts w:ascii="Kalpurush" w:cs="Kalpurush" w:eastAsia="Kalpurush" w:hAnsi="Kalpurush"/>
          <w:b/>
          <w:bCs/>
          <w:sz w:val="20"/>
          <w:szCs w:val="20"/>
        </w:rPr>
        <w:t xml:space="preserve">সমর্থনকারী নজির:</w:t>
      </w:r>
    </w:p>
    <w:p>
      <w:pPr>
        <w:ind w:left="720"/>
      </w:pPr>
      <w:r>
        <w:rPr>
          <w:rFonts w:ascii="Kalpurush" w:cs="Kalpurush" w:eastAsia="Kalpurush" w:hAnsi="Kalpurush"/>
          <w:b/>
          <w:bCs/>
          <w:i/>
          <w:iCs/>
          <w:sz w:val="20"/>
          <w:szCs w:val="20"/>
        </w:rPr>
        <w:t xml:space="preserve">30 DLR (AD) 81</w:t>
      </w:r>
      <w:r>
        <w:rPr>
          <w:rFonts w:ascii="Kalpurush" w:cs="Kalpurush" w:eastAsia="Kalpurush" w:hAnsi="Kalpurush"/>
          <w:i/>
          <w:iCs/>
          <w:sz w:val="20"/>
          <w:szCs w:val="20"/>
        </w:rPr>
        <w:t xml:space="preserve"> (Akrab Ali and others  ------- Appellants.</w:t>
      </w:r>
    </w:p>
    <w:p>
      <w:r>
        <w:rPr>
          <w:rFonts w:ascii="Kalpurush" w:cs="Kalpurush" w:eastAsia="Kalpurush" w:hAnsi="Kalpurush"/>
          <w:sz w:val="20"/>
          <w:szCs w:val="20"/>
        </w:rPr>
        <w:t xml:space="preserve">Vs.</w:t>
      </w:r>
    </w:p>
    <w:p>
      <w:r>
        <w:rPr>
          <w:rFonts w:ascii="Kalpurush" w:cs="Kalpurush" w:eastAsia="Kalpurush" w:hAnsi="Kalpurush"/>
          <w:sz w:val="20"/>
          <w:szCs w:val="20"/>
        </w:rPr>
        <w:t xml:space="preserve">Zahiruddin Kari and others  ------- Respondents.)</w:t>
      </w:r>
    </w:p>
    <w:p>
      <w:pPr>
        <w:ind w:left="720"/>
      </w:pPr>
      <w:r>
        <w:rPr>
          <w:rFonts w:ascii="Kalpurush" w:cs="Kalpurush" w:eastAsia="Kalpurush" w:hAnsi="Kalpurush"/>
          <w:b/>
          <w:bCs/>
          <w:i/>
          <w:iCs/>
          <w:sz w:val="20"/>
          <w:szCs w:val="20"/>
        </w:rPr>
        <w:t xml:space="preserve">21 ALR (HD) 348,23 BLC (HD) 732,38 BLD (HD) 119</w:t>
      </w:r>
      <w:r>
        <w:rPr>
          <w:rFonts w:ascii="Kalpurush" w:cs="Kalpurush" w:eastAsia="Kalpurush" w:hAnsi="Kalpurush"/>
          <w:i/>
          <w:iCs/>
          <w:sz w:val="20"/>
          <w:szCs w:val="20"/>
        </w:rPr>
        <w:t xml:space="preserve"> (Assistant Horticulturist ------- Defendant-Appellant-Petitioner</w:t>
      </w:r>
    </w:p>
    <w:p>
      <w:r>
        <w:rPr>
          <w:rFonts w:ascii="Kalpurush" w:cs="Kalpurush" w:eastAsia="Kalpurush" w:hAnsi="Kalpurush"/>
          <w:sz w:val="20"/>
          <w:szCs w:val="20"/>
        </w:rPr>
        <w:t xml:space="preserve">VS</w:t>
      </w:r>
    </w:p>
    <w:p>
      <w:r>
        <w:rPr>
          <w:rFonts w:ascii="Kalpurush" w:cs="Kalpurush" w:eastAsia="Kalpurush" w:hAnsi="Kalpurush"/>
          <w:sz w:val="20"/>
          <w:szCs w:val="20"/>
        </w:rPr>
        <w:t xml:space="preserve">MA Sattar Bhuiyan and others ---------- Plaintiff-Respondent-Opposite Parties)</w:t>
      </w:r>
    </w:p>
    <w:p>
      <w:pPr>
        <w:ind w:left="720"/>
      </w:pPr>
      <w:r>
        <w:rPr>
          <w:rFonts w:ascii="Kalpurush" w:cs="Kalpurush" w:eastAsia="Kalpurush" w:hAnsi="Kalpurush"/>
          <w:b/>
          <w:bCs/>
          <w:i/>
          <w:iCs/>
          <w:sz w:val="20"/>
          <w:szCs w:val="20"/>
        </w:rPr>
        <w:t xml:space="preserve">3 ALR (HD) 211,18 BLC (HD) 806</w:t>
      </w:r>
      <w:r>
        <w:rPr>
          <w:rFonts w:ascii="Kalpurush" w:cs="Kalpurush" w:eastAsia="Kalpurush" w:hAnsi="Kalpurush"/>
          <w:i/>
          <w:iCs/>
          <w:sz w:val="20"/>
          <w:szCs w:val="20"/>
        </w:rPr>
        <w:t xml:space="preserve"> (STS Educational Group Limited ------ Petitioners</w:t>
      </w:r>
    </w:p>
    <w:p>
      <w:r>
        <w:rPr>
          <w:rFonts w:ascii="Kalpurush" w:cs="Kalpurush" w:eastAsia="Kalpurush" w:hAnsi="Kalpurush"/>
          <w:sz w:val="20"/>
          <w:szCs w:val="20"/>
        </w:rPr>
        <w:t xml:space="preserve">vs. </w:t>
      </w:r>
    </w:p>
    <w:p>
      <w:r>
        <w:rPr>
          <w:rFonts w:ascii="Kalpurush" w:cs="Kalpurush" w:eastAsia="Kalpurush" w:hAnsi="Kalpurush"/>
          <w:sz w:val="20"/>
          <w:szCs w:val="20"/>
        </w:rPr>
        <w:t xml:space="preserve">Bangladesh, represented by the Secretary, Ministry of Land and others ------ Respondents)</w:t>
      </w:r>
    </w:p>
    <w:p>
      <w:r>
        <w:rPr>
          <w:rFonts w:ascii="Kalpurush" w:cs="Kalpurush" w:eastAsia="Kalpurush" w:hAnsi="Kalpurush"/>
        </w:rPr>
        <w:t xml:space="preserve"/>
      </w:r>
    </w:p>
    <w:p>
      <w:pPr>
        <w:jc w:val="center"/>
      </w:pPr>
      <w:r>
        <w:t xml:space="preserve">--------------------------------------------------</w:t>
      </w:r>
    </w:p>
    <w:p>
      <w:pPr>
        <w:pStyle w:val="Heading1"/>
        <w:jc w:val="center"/>
      </w:pPr>
      <w:r>
        <w:rPr>
          <w:rFonts w:ascii="Kalpurush" w:cs="Kalpurush" w:eastAsia="Kalpurush" w:hAnsi="Kalpurush"/>
          <w:sz w:val="20"/>
          <w:szCs w:val="20"/>
        </w:rPr>
        <w:t xml:space="preserve">অধ্যায় ৩: AC Land ভলিউম নোট বনাম DC Record Room</w:t>
      </w:r>
    </w:p>
    <w:p>
      <w:r>
        <w:rPr>
          <w:rFonts w:ascii="Kalpurush" w:cs="Kalpurush" w:eastAsia="Kalpurush" w:hAnsi="Kalpurush"/>
        </w:rPr>
        <w:t xml:space="preserve"/>
      </w:r>
    </w:p>
    <w:p>
      <w:r>
        <w:rPr>
          <w:rFonts w:ascii="Kalpurush" w:cs="Kalpurush" w:eastAsia="Kalpurush" w:hAnsi="Kalpurush"/>
          <w:b/>
          <w:bCs/>
          <w:sz w:val="20"/>
          <w:szCs w:val="20"/>
        </w:rPr>
        <w:t xml:space="preserve">ট্রায়াল কোর্টের ভুল অনুমান:</w:t>
      </w:r>
    </w:p>
    <w:p>
      <w:r>
        <w:rPr>
          <w:rFonts w:ascii="Kalpurush" w:cs="Kalpurush" w:eastAsia="Kalpurush" w:hAnsi="Kalpurush"/>
          <w:sz w:val="20"/>
          <w:szCs w:val="20"/>
        </w:rPr>
        <w:t xml:space="preserve">SA Khatian was corrected to include Sona Bhanu based on the Misc Case.</w:t>
      </w:r>
    </w:p>
    <w:p>
      <w:r>
        <w:rPr>
          <w:rFonts w:ascii="Kalpurush" w:cs="Kalpurush" w:eastAsia="Kalpurush" w:hAnsi="Kalpurush"/>
        </w:rPr>
        <w:t xml:space="preserve"/>
      </w:r>
    </w:p>
    <w:p>
      <w:r>
        <w:rPr>
          <w:rFonts w:ascii="Kalpurush" w:cs="Kalpurush" w:eastAsia="Kalpurush" w:hAnsi="Kalpurush"/>
          <w:b/>
          <w:bCs/>
          <w:sz w:val="20"/>
          <w:szCs w:val="20"/>
        </w:rPr>
        <w:t xml:space="preserve">আমাদের আইনি খণ্ডন:</w:t>
      </w:r>
    </w:p>
    <w:p>
      <w:r>
        <w:rPr>
          <w:rFonts w:ascii="Kalpurush" w:cs="Kalpurush" w:eastAsia="Kalpurush" w:hAnsi="Kalpurush"/>
          <w:sz w:val="20"/>
          <w:szCs w:val="20"/>
        </w:rPr>
        <w:t xml:space="preserve">The Trial Court illegally elevated a fraudulent, different-ink margin note in a revenue working copy over the constitutionally mandated DC Record Room original. Furthermore, defendants' own 1975 deed contradicts the 1969 correction theory.</w:t>
      </w:r>
    </w:p>
    <w:p>
      <w:r>
        <w:rPr>
          <w:rFonts w:ascii="Kalpurush" w:cs="Kalpurush" w:eastAsia="Kalpurush" w:hAnsi="Kalpurush"/>
        </w:rPr>
        <w:t xml:space="preserve"/>
      </w:r>
    </w:p>
    <w:p>
      <w:r>
        <w:rPr>
          <w:rFonts w:ascii="Kalpurush" w:cs="Kalpurush" w:eastAsia="Kalpurush" w:hAnsi="Kalpurush"/>
          <w:b/>
          <w:bCs/>
          <w:sz w:val="20"/>
          <w:szCs w:val="20"/>
        </w:rPr>
        <w:t xml:space="preserve">বিবাদীদের নিজেদের দলিলে স্ববিরোধিতা:</w:t>
      </w:r>
    </w:p>
    <w:p>
      <w:r>
        <w:rPr>
          <w:rFonts w:ascii="Kalpurush" w:cs="Kalpurush" w:eastAsia="Kalpurush" w:hAnsi="Kalpurush"/>
          <w:sz w:val="20"/>
          <w:szCs w:val="20"/>
        </w:rPr>
        <w:t xml:space="preserve">যদি ১৯৬৯ সালেই খতিয়ানটি ১ দাগে সংশোধিত হইয়া থাকে, তবে ১৯৭৫ সালে বিবাদীদের নিজেদের দলিলে (৩৫৯৬ নং) কীভাবে ৬টি দাগ উল্লেখ করা হইল? এই স্ববিরোধিতা প্রমাণ করে ভলিউম নোটটি পরবর্তীকালের জালিয়াতি।</w:t>
      </w:r>
    </w:p>
    <w:p>
      <w:r>
        <w:rPr>
          <w:rFonts w:ascii="Kalpurush" w:cs="Kalpurush" w:eastAsia="Kalpurush" w:hAnsi="Kalpurush"/>
        </w:rPr>
        <w:t xml:space="preserve"/>
      </w:r>
    </w:p>
    <w:p>
      <w:pPr>
        <w:jc w:val="center"/>
      </w:pPr>
      <w:r>
        <w:t xml:space="preserve">--------------------------------------------------</w:t>
      </w:r>
    </w:p>
    <w:p>
      <w:pPr>
        <w:pStyle w:val="Heading2"/>
      </w:pPr>
      <w:r>
        <w:rPr>
          <w:rFonts w:ascii="Kalpurush" w:cs="Kalpurush" w:eastAsia="Kalpurush" w:hAnsi="Kalpurush"/>
          <w:sz w:val="20"/>
          <w:szCs w:val="20"/>
        </w:rPr>
        <w:t xml:space="preserve">প্রার্থনা</w:t>
      </w:r>
    </w:p>
    <w:p>
      <w:r>
        <w:rPr>
          <w:rFonts w:ascii="Kalpurush" w:cs="Kalpurush" w:eastAsia="Kalpurush" w:hAnsi="Kalpurush"/>
          <w:sz w:val="20"/>
          <w:szCs w:val="20"/>
        </w:rPr>
        <w:t xml:space="preserve">অতএব, মহামান্য আদালতের নিকট বিনীত প্রার্থনা এই যে, বিজ্ঞ ট্রায়াল কোর্টের রায় বাতিল করিয়া আপীলটি মঞ্জুর করা হোক।</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2026-06-25T20:54:23.206Z</dcterms:created>
  <dcterms:modified xsi:type="dcterms:W3CDTF">2026-06-25T20:54:23.237Z</dcterms:modified>
</cp:coreProperties>
</file>

<file path=docProps/custom.xml><?xml version="1.0" encoding="utf-8"?>
<Properties xmlns="http://schemas.openxmlformats.org/officeDocument/2006/custom-properties" xmlns:vt="http://schemas.openxmlformats.org/officeDocument/2006/docPropsVTypes"/>
</file>