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হাতেম আলী ও অন্যান্য বনাম আলহাজ উদ্দিন ও অন্যান্য</w:t>
      </w:r>
    </w:p>
    <w:p>
      <w:r>
        <w:rPr>
          <w:rFonts w:ascii="Kalpurush" w:cs="Kalpurush" w:eastAsia="Kalpurush" w:hAnsi="Kalpurush"/>
          <w:b/>
          <w:bCs/>
          <w:sz w:val="20"/>
          <w:szCs w:val="20"/>
        </w:rPr>
        <w:t xml:space="preserve">আপীল্যান্টপক্ষের পূর্ণাঙ্গ লিখিত যুক্তিতর্ক (Version 59)</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প্রারম্ভিক বক্তব্য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sz w:val="20"/>
          <w:szCs w:val="20"/>
        </w:rPr>
        <w:t xml:space="preserve">এই আপীলের মূল বিষয়বস্তু কেবলমাত্র এস.এ ২৩৮ খতিয়ানের শুদ্ধতা প্রমাণ করা নহে। বরং, বিজ্ঞ ট্রায়াল কোর্ট কীভাবে একটি অপ্রমাণিত মূল স্বত্ব (Root Title)-এর উপর ভিত্তি করিয়া এবং সম্পূর্ণ বেআইনিভাবে প্রমাণের দায়ভার (Burden of Proof) উল্টাইয়া দিয়া একটি State Record-কে বাতিল করিয়াছেন, তাহা আদালতের নজরে আনাই এই আপীলের উদ্দেশ্য।</w:t>
      </w:r>
    </w:p>
    <w:p>
      <w:r>
        <w:rPr>
          <w:rFonts w:ascii="Kalpurush" w:cs="Kalpurush" w:eastAsia="Kalpurush" w:hAnsi="Kalpurush"/>
        </w:rPr>
        <w:t xml:space="preserve"/>
      </w:r>
    </w:p>
    <w:p>
      <w:pPr>
        <w:jc w:val="center"/>
      </w:pPr>
      <w:r>
        <w:t xml:space="preserve">--------------------------------------------------</w:t>
      </w:r>
    </w:p>
    <w:p>
      <w:pPr>
        <w:pStyle w:val="Heading1"/>
        <w:jc w:val="center"/>
      </w:pPr>
      <w:r>
        <w:rPr>
          <w:rFonts w:ascii="Kalpurush" w:cs="Kalpurush" w:eastAsia="Kalpurush" w:hAnsi="Kalpurush"/>
          <w:sz w:val="20"/>
          <w:szCs w:val="20"/>
        </w:rPr>
        <w:t xml:space="preserve">অধ্যায় 1: আব্দুল করিমের রায়তি স্বত্বের মূল উৎস (Root of Tenancy) প্রমাণে সম্পূর্ণ ব্যর্থতা</w:t>
      </w:r>
    </w:p>
    <w:p>
      <w:r>
        <w:rPr>
          <w:rFonts w:ascii="Kalpurush" w:cs="Kalpurush" w:eastAsia="Kalpurush" w:hAnsi="Kalpurush"/>
        </w:rPr>
        <w:t xml:space="preserve"/>
      </w:r>
    </w:p>
    <w:p>
      <w:r>
        <w:rPr>
          <w:rFonts w:ascii="Kalpurush" w:cs="Kalpurush" w:eastAsia="Kalpurush" w:hAnsi="Kalpurush"/>
          <w:b/>
          <w:bCs/>
          <w:sz w:val="20"/>
          <w:szCs w:val="20"/>
        </w:rPr>
        <w:t xml:space="preserve">বিজ্ঞ ট্রায়াল কোর্টের সিদ্ধান্ত:</w:t>
      </w:r>
    </w:p>
    <w:p>
      <w:pPr>
        <w:ind w:left="720"/>
      </w:pPr>
      <w:r>
        <w:rPr>
          <w:rFonts w:ascii="Kalpurush" w:cs="Kalpurush" w:eastAsia="Kalpurush" w:hAnsi="Kalpurush"/>
          <w:i/>
          <w:iCs/>
          <w:sz w:val="20"/>
          <w:szCs w:val="20"/>
        </w:rPr>
        <w:t xml:space="preserve">"ট্রায়াল কোর্ট বিবাদীদের দাবি মানিয়াছেন যে আব্দুল করিম ১৯৩৪ সালে নবাব এস্টেট হইতে পত্তন পান।"</w:t>
      </w:r>
    </w:p>
    <w:p>
      <w:r>
        <w:rPr>
          <w:rFonts w:ascii="Kalpurush" w:cs="Kalpurush" w:eastAsia="Kalpurush" w:hAnsi="Kalpurush"/>
        </w:rPr>
        <w:t xml:space="preserve"/>
      </w:r>
    </w:p>
    <w:p>
      <w:r>
        <w:rPr>
          <w:rFonts w:ascii="Kalpurush" w:cs="Kalpurush" w:eastAsia="Kalpurush" w:hAnsi="Kalpurush"/>
          <w:b/>
          <w:bCs/>
          <w:sz w:val="20"/>
          <w:szCs w:val="20"/>
        </w:rPr>
        <w:t xml:space="preserve">আমাদের আইনি খণ্ডন:</w:t>
      </w:r>
    </w:p>
    <w:p>
      <w:r>
        <w:rPr>
          <w:rFonts w:ascii="Kalpurush" w:cs="Kalpurush" w:eastAsia="Kalpurush" w:hAnsi="Kalpurush"/>
          <w:sz w:val="20"/>
          <w:szCs w:val="20"/>
        </w:rPr>
        <w:t xml:space="preserve">আইনের সুপ্রতিষ্ঠিত নীতি হলো—বিচ্ছিন্ন খাজনার রসিদ কেবল খাজনা প্রদানের প্রমাণ, ইহা স্বত্ব (Title) বা রায়তি অধিকার সৃষ্টির কোনো দলিল নহে। বিবাদীরা পত্তন বা কবুলিয়ত দাখিল করিতে ব্যর্থ হইয়াছেন। একটি ১৩৩৪ বঙ্গাব্দের দাখিলা (যাহার ক্রমিক নং ৩৪৯, অথচ ২৩ বছর পরের ১৯৫০ সালের দাখিলার ক্রমিক নং ৩৪০) দ্বারা নবাব এস্টেটের পত্তন প্রমাণিত হয়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নজির:</w:t>
      </w:r>
      <w:r>
        <w:rPr>
          <w:rFonts w:ascii="Kalpurush" w:cs="Kalpurush" w:eastAsia="Kalpurush" w:hAnsi="Kalpurush"/>
          <w:i/>
          <w:iCs/>
          <w:sz w:val="20"/>
          <w:szCs w:val="20"/>
        </w:rPr>
        <w:t xml:space="preserve"> </w:t>
      </w:r>
      <w:r>
        <w:rPr>
          <w:rFonts w:ascii="Kalpurush" w:cs="Kalpurush" w:eastAsia="Kalpurush" w:hAnsi="Kalpurush"/>
          <w:b/>
          <w:bCs/>
          <w:i/>
          <w:iCs/>
          <w:sz w:val="20"/>
          <w:szCs w:val="20"/>
        </w:rPr>
        <w:t xml:space="preserve">21 ALR (HD) 348</w:t>
      </w:r>
      <w:r>
        <w:rPr>
          <w:rFonts w:ascii="Kalpurush" w:cs="Kalpurush" w:eastAsia="Kalpurush" w:hAnsi="Kalpurush"/>
          <w:i/>
          <w:iCs/>
          <w:sz w:val="20"/>
          <w:szCs w:val="20"/>
        </w:rPr>
        <w:t xml:space="preserve"> (*Applicable Precedent on Dakhila*)</w:t>
      </w:r>
    </w:p>
    <w:p>
      <w:pPr>
        <w:ind w:left="720"/>
      </w:pPr>
      <w:r>
        <w:rPr>
          <w:rFonts w:ascii="Kalpurush" w:cs="Kalpurush" w:eastAsia="Kalpurush" w:hAnsi="Kalpurush"/>
          <w:b/>
          <w:bCs/>
          <w:i/>
          <w:iCs/>
          <w:sz w:val="20"/>
          <w:szCs w:val="20"/>
        </w:rPr>
        <w:t xml:space="preserve">Legal Principle:</w:t>
      </w:r>
      <w:r>
        <w:rPr>
          <w:rFonts w:ascii="Kalpurush" w:cs="Kalpurush" w:eastAsia="Kalpurush" w:hAnsi="Kalpurush"/>
          <w:i/>
          <w:iCs/>
          <w:sz w:val="20"/>
          <w:szCs w:val="20"/>
        </w:rPr>
        <w:t xml:space="preserve"> খাজনার রসিদ (দাখিলা) কেবল খাজনা প্রদানের প্রমাণ, ইহা স্বত্ব (Title) বা রায়তি অধিকার সৃষ্টির কোনো দলিল নহে।</w:t>
      </w:r>
    </w:p>
    <w:p>
      <w:pPr>
        <w:ind w:left="720"/>
      </w:pPr>
      <w:r>
        <w:rPr>
          <w:rFonts w:ascii="Kalpurush" w:cs="Kalpurush" w:eastAsia="Kalpurush" w:hAnsi="Kalpurush"/>
          <w:b/>
          <w:bCs/>
          <w:i/>
          <w:iCs/>
          <w:sz w:val="20"/>
          <w:szCs w:val="20"/>
        </w:rPr>
        <w:t xml:space="preserve">Application to Present Appeal:</w:t>
      </w:r>
      <w:r>
        <w:rPr>
          <w:rFonts w:ascii="Kalpurush" w:cs="Kalpurush" w:eastAsia="Kalpurush" w:hAnsi="Kalpurush"/>
          <w:i/>
          <w:iCs/>
          <w:sz w:val="20"/>
          <w:szCs w:val="20"/>
        </w:rPr>
        <w:t xml:space="preserve"> বিবাদীদের ১৩৩৪ বঙ্গাব্দের দাখিলাটি বিচ্ছিন্ন এবং ইহা দ্বারা পত্তন বা স্বত্ব প্রমাণিত হয় না।</w:t>
      </w:r>
    </w:p>
    <w:p>
      <w:r>
        <w:rPr>
          <w:rFonts w:ascii="Kalpurush" w:cs="Kalpurush" w:eastAsia="Kalpurush" w:hAnsi="Kalpurush"/>
        </w:rPr>
        <w:t xml:space="preserve"/>
      </w:r>
    </w:p>
    <w:p>
      <w:r>
        <w:rPr>
          <w:rFonts w:ascii="Kalpurush" w:cs="Kalpurush" w:eastAsia="Kalpurush" w:hAnsi="Kalpurush"/>
          <w:b/>
          <w:bCs/>
          <w:sz w:val="20"/>
          <w:szCs w:val="20"/>
        </w:rPr>
        <w:t xml:space="preserve">অতএব বিজ্ঞ ট্রায়াল কোর্টের এই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অধ্যায় 2: এস.এ রেকর্ডের প্রামাণিকতা এবং প্রমাণের দায়ভার (Burden of Proof) উল্টানো</w:t>
      </w:r>
    </w:p>
    <w:p>
      <w:r>
        <w:rPr>
          <w:rFonts w:ascii="Kalpurush" w:cs="Kalpurush" w:eastAsia="Kalpurush" w:hAnsi="Kalpurush"/>
        </w:rPr>
        <w:t xml:space="preserve"/>
      </w:r>
    </w:p>
    <w:p>
      <w:r>
        <w:rPr>
          <w:rFonts w:ascii="Kalpurush" w:cs="Kalpurush" w:eastAsia="Kalpurush" w:hAnsi="Kalpurush"/>
          <w:b/>
          <w:bCs/>
          <w:sz w:val="20"/>
          <w:szCs w:val="20"/>
        </w:rPr>
        <w:t xml:space="preserve">বিজ্ঞ ট্রায়াল কোর্টের সিদ্ধান্ত:</w:t>
      </w:r>
    </w:p>
    <w:p>
      <w:pPr>
        <w:ind w:left="720"/>
      </w:pPr>
      <w:r>
        <w:rPr>
          <w:rFonts w:ascii="Kalpurush" w:cs="Kalpurush" w:eastAsia="Kalpurush" w:hAnsi="Kalpurush"/>
          <w:i/>
          <w:iCs/>
          <w:sz w:val="20"/>
          <w:szCs w:val="20"/>
        </w:rPr>
        <w:t xml:space="preserve">"ট্রায়াল কোর্ট 'Bilquis Jahan' মামলার উদ্ধৃতি দিয়া বাদীকে তাহার মোকদ্দমা প্রমাণের দায়ভার দিয়াছেন এবং एस.এ রেকর্ড বাতিল করিয়াছেন।"</w:t>
      </w:r>
    </w:p>
    <w:p>
      <w:r>
        <w:rPr>
          <w:rFonts w:ascii="Kalpurush" w:cs="Kalpurush" w:eastAsia="Kalpurush" w:hAnsi="Kalpurush"/>
        </w:rPr>
        <w:t xml:space="preserve"/>
      </w:r>
    </w:p>
    <w:p>
      <w:r>
        <w:rPr>
          <w:rFonts w:ascii="Kalpurush" w:cs="Kalpurush" w:eastAsia="Kalpurush" w:hAnsi="Kalpurush"/>
          <w:b/>
          <w:bCs/>
          <w:sz w:val="20"/>
          <w:szCs w:val="20"/>
        </w:rPr>
        <w:t xml:space="preserve">আমাদের আইনি খণ্ডন:</w:t>
      </w:r>
    </w:p>
    <w:p>
      <w:r>
        <w:rPr>
          <w:rFonts w:ascii="Kalpurush" w:cs="Kalpurush" w:eastAsia="Kalpurush" w:hAnsi="Kalpurush"/>
          <w:sz w:val="20"/>
          <w:szCs w:val="20"/>
        </w:rPr>
        <w:t xml:space="preserve">এস.এ ২৩৮ খতিয়ানটি আব্দুল আলীর নামে চূড়ান্তভাবে প্রকাশিত। এই রেকর্ডটি সঠিক বলিয়া আইনি অনুমান (presumption) লাভ করে। বাদীপক্ষ এই রেকর্ড দাখিল করার পর ইহা ভুল প্রমাণ করার সম্পূর্ণ দায়ভার ছিল বিবাদীদের। ট্রায়াল কোর্ট এই প্রতিষ্ঠিত নীতি লঙ্ঘন করিয়াছেন।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নজির:</w:t>
      </w:r>
      <w:r>
        <w:rPr>
          <w:rFonts w:ascii="Kalpurush" w:cs="Kalpurush" w:eastAsia="Kalpurush" w:hAnsi="Kalpurush"/>
          <w:i/>
          <w:iCs/>
          <w:sz w:val="20"/>
          <w:szCs w:val="20"/>
        </w:rPr>
        <w:t xml:space="preserve"> </w:t>
      </w:r>
      <w:r>
        <w:rPr>
          <w:rFonts w:ascii="Kalpurush" w:cs="Kalpurush" w:eastAsia="Kalpurush" w:hAnsi="Kalpurush"/>
          <w:b/>
          <w:bCs/>
          <w:i/>
          <w:iCs/>
          <w:sz w:val="20"/>
          <w:szCs w:val="20"/>
        </w:rPr>
        <w:t xml:space="preserve">50 DLR 186</w:t>
      </w:r>
      <w:r>
        <w:rPr>
          <w:rFonts w:ascii="Kalpurush" w:cs="Kalpurush" w:eastAsia="Kalpurush" w:hAnsi="Kalpurush"/>
          <w:i/>
          <w:iCs/>
          <w:sz w:val="20"/>
          <w:szCs w:val="20"/>
        </w:rPr>
        <w:t xml:space="preserve"> (*Dayal Chandra Mondal vs. Asst. Custodian*)</w:t>
      </w:r>
    </w:p>
    <w:p>
      <w:pPr>
        <w:ind w:left="720"/>
      </w:pPr>
      <w:r>
        <w:rPr>
          <w:rFonts w:ascii="Kalpurush" w:cs="Kalpurush" w:eastAsia="Kalpurush" w:hAnsi="Kalpurush"/>
          <w:b/>
          <w:bCs/>
          <w:i/>
          <w:iCs/>
          <w:sz w:val="20"/>
          <w:szCs w:val="20"/>
        </w:rPr>
        <w:t xml:space="preserve">Legal Principle:</w:t>
      </w:r>
      <w:r>
        <w:rPr>
          <w:rFonts w:ascii="Kalpurush" w:cs="Kalpurush" w:eastAsia="Kalpurush" w:hAnsi="Kalpurush"/>
          <w:i/>
          <w:iCs/>
          <w:sz w:val="20"/>
          <w:szCs w:val="20"/>
        </w:rPr>
        <w:t xml:space="preserve"> "A record of rights finally published and revised under section 144A of the S.A.T. Act has a presumption of correctness and that presumption continues till it is rebutted by reliable evidence."</w:t>
      </w:r>
    </w:p>
    <w:p>
      <w:pPr>
        <w:ind w:left="720"/>
      </w:pPr>
      <w:r>
        <w:rPr>
          <w:rFonts w:ascii="Kalpurush" w:cs="Kalpurush" w:eastAsia="Kalpurush" w:hAnsi="Kalpurush"/>
          <w:b/>
          <w:bCs/>
          <w:i/>
          <w:iCs/>
          <w:sz w:val="20"/>
          <w:szCs w:val="20"/>
        </w:rPr>
        <w:t xml:space="preserve">Application to Present Appeal:</w:t>
      </w:r>
      <w:r>
        <w:rPr>
          <w:rFonts w:ascii="Kalpurush" w:cs="Kalpurush" w:eastAsia="Kalpurush" w:hAnsi="Kalpurush"/>
          <w:i/>
          <w:iCs/>
          <w:sz w:val="20"/>
          <w:szCs w:val="20"/>
        </w:rPr>
        <w:t xml:space="preserve"> এস.এ ২৩৮ খতিয়ানটি আব্দুল আলীর নামে চূড়ান্তভাবে প্রকাশিত হইয়াছে। ফলে আইনের ১৪৪এ ধারা অনুযায়ী এই খতিয়ানটি সঠিক বলিয়া আইনি অনুমান (presumption) লাভ করে।</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নজির:</w:t>
      </w:r>
      <w:r>
        <w:rPr>
          <w:rFonts w:ascii="Kalpurush" w:cs="Kalpurush" w:eastAsia="Kalpurush" w:hAnsi="Kalpurush"/>
          <w:i/>
          <w:iCs/>
          <w:sz w:val="20"/>
          <w:szCs w:val="20"/>
        </w:rPr>
        <w:t xml:space="preserve"> </w:t>
      </w:r>
      <w:r>
        <w:rPr>
          <w:rFonts w:ascii="Kalpurush" w:cs="Kalpurush" w:eastAsia="Kalpurush" w:hAnsi="Kalpurush"/>
          <w:b/>
          <w:bCs/>
          <w:i/>
          <w:iCs/>
          <w:sz w:val="20"/>
          <w:szCs w:val="20"/>
        </w:rPr>
        <w:t xml:space="preserve">35 DLR (AD) 230</w:t>
      </w:r>
      <w:r>
        <w:rPr>
          <w:rFonts w:ascii="Kalpurush" w:cs="Kalpurush" w:eastAsia="Kalpurush" w:hAnsi="Kalpurush"/>
          <w:i/>
          <w:iCs/>
          <w:sz w:val="20"/>
          <w:szCs w:val="20"/>
        </w:rPr>
        <w:t xml:space="preserve"> (*S.M. Basiruddin Vs. Zahurul Islam Chowdhury*)</w:t>
      </w:r>
    </w:p>
    <w:p>
      <w:pPr>
        <w:ind w:left="720"/>
      </w:pPr>
      <w:r>
        <w:rPr>
          <w:rFonts w:ascii="Kalpurush" w:cs="Kalpurush" w:eastAsia="Kalpurush" w:hAnsi="Kalpurush"/>
          <w:b/>
          <w:bCs/>
          <w:i/>
          <w:iCs/>
          <w:sz w:val="20"/>
          <w:szCs w:val="20"/>
        </w:rPr>
        <w:t xml:space="preserve">Legal Principle:</w:t>
      </w:r>
      <w:r>
        <w:rPr>
          <w:rFonts w:ascii="Kalpurush" w:cs="Kalpurush" w:eastAsia="Kalpurush" w:hAnsi="Kalpurush"/>
          <w:i/>
          <w:iCs/>
          <w:sz w:val="20"/>
          <w:szCs w:val="20"/>
        </w:rPr>
        <w:t xml:space="preserve"> "The onus to prove that the entry in the finally published record of rights is wrong lies heavily upon the party who challenges it."</w:t>
      </w:r>
    </w:p>
    <w:p>
      <w:pPr>
        <w:ind w:left="720"/>
      </w:pPr>
      <w:r>
        <w:rPr>
          <w:rFonts w:ascii="Kalpurush" w:cs="Kalpurush" w:eastAsia="Kalpurush" w:hAnsi="Kalpurush"/>
          <w:b/>
          <w:bCs/>
          <w:i/>
          <w:iCs/>
          <w:sz w:val="20"/>
          <w:szCs w:val="20"/>
        </w:rPr>
        <w:t xml:space="preserve">Application to Present Appeal:</w:t>
      </w:r>
      <w:r>
        <w:rPr>
          <w:rFonts w:ascii="Kalpurush" w:cs="Kalpurush" w:eastAsia="Kalpurush" w:hAnsi="Kalpurush"/>
          <w:i/>
          <w:iCs/>
          <w:sz w:val="20"/>
          <w:szCs w:val="20"/>
        </w:rPr>
        <w:t xml:space="preserve"> এস.এ ২৩৮ খতিয়ান দাখিল করার পর Evidence Act 103 অনুযায়ী ইহা ভুল প্রমাণ করার সম্পূর্ণ দায়ভার (Burden of Proof) ছিল বিবাদীদের।</w:t>
      </w:r>
    </w:p>
    <w:p>
      <w:r>
        <w:rPr>
          <w:rFonts w:ascii="Kalpurush" w:cs="Kalpurush" w:eastAsia="Kalpurush" w:hAnsi="Kalpurush"/>
        </w:rPr>
        <w:t xml:space="preserve"/>
      </w:r>
    </w:p>
    <w:p>
      <w:r>
        <w:rPr>
          <w:rFonts w:ascii="Kalpurush" w:cs="Kalpurush" w:eastAsia="Kalpurush" w:hAnsi="Kalpurush"/>
          <w:b/>
          <w:bCs/>
          <w:sz w:val="20"/>
          <w:szCs w:val="20"/>
        </w:rPr>
        <w:t xml:space="preserve">অতএব বিজ্ঞ ট্রায়াল কোর্টের এই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অধ্যায় 3: সর্বোত্তম সাক্ষ্য গোপনের ফলে প্রতিকূল অনুমান (Adverse Inference) প্রযোজ্য</w:t>
      </w:r>
    </w:p>
    <w:p>
      <w:r>
        <w:rPr>
          <w:rFonts w:ascii="Kalpurush" w:cs="Kalpurush" w:eastAsia="Kalpurush" w:hAnsi="Kalpurush"/>
        </w:rPr>
        <w:t xml:space="preserve"/>
      </w:r>
    </w:p>
    <w:p>
      <w:r>
        <w:rPr>
          <w:rFonts w:ascii="Kalpurush" w:cs="Kalpurush" w:eastAsia="Kalpurush" w:hAnsi="Kalpurush"/>
          <w:b/>
          <w:bCs/>
          <w:sz w:val="20"/>
          <w:szCs w:val="20"/>
        </w:rPr>
        <w:t xml:space="preserve">বিজ্ঞ ট্রায়াল কোর্টের সিদ্ধান্ত:</w:t>
      </w:r>
    </w:p>
    <w:p>
      <w:pPr>
        <w:ind w:left="720"/>
      </w:pPr>
      <w:r>
        <w:rPr>
          <w:rFonts w:ascii="Kalpurush" w:cs="Kalpurush" w:eastAsia="Kalpurush" w:hAnsi="Kalpurush"/>
          <w:i/>
          <w:iCs/>
          <w:sz w:val="20"/>
          <w:szCs w:val="20"/>
        </w:rPr>
        <w:t xml:space="preserve">"ট্রায়াল কোর্ট আদেশের কপি ছাড়াই Misc Case 1181/1969 এর আদেশের অস্তিত্ব মানিয়া লইয়াছেন।"</w:t>
      </w:r>
    </w:p>
    <w:p>
      <w:r>
        <w:rPr>
          <w:rFonts w:ascii="Kalpurush" w:cs="Kalpurush" w:eastAsia="Kalpurush" w:hAnsi="Kalpurush"/>
        </w:rPr>
        <w:t xml:space="preserve"/>
      </w:r>
    </w:p>
    <w:p>
      <w:r>
        <w:rPr>
          <w:rFonts w:ascii="Kalpurush" w:cs="Kalpurush" w:eastAsia="Kalpurush" w:hAnsi="Kalpurush"/>
          <w:b/>
          <w:bCs/>
          <w:sz w:val="20"/>
          <w:szCs w:val="20"/>
        </w:rPr>
        <w:t xml:space="preserve">আমাদের আইনি খণ্ডন:</w:t>
      </w:r>
    </w:p>
    <w:p>
      <w:r>
        <w:rPr>
          <w:rFonts w:ascii="Kalpurush" w:cs="Kalpurush" w:eastAsia="Kalpurush" w:hAnsi="Kalpurush"/>
          <w:sz w:val="20"/>
          <w:szCs w:val="20"/>
        </w:rPr>
        <w:t xml:space="preserve">Evidence Act এর বিধান অনুযায়ী কোনো বিচারিক আদেশ তাহার প্রাথমিক বা মাধ্যমিক (সার্টিফাইড) কপি দ্বারা প্রমাণ করিতে হয়। বিবাদীরা উক্ত আদেশের কপি দাখিল করেন নাই।</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নজির:</w:t>
      </w:r>
      <w:r>
        <w:rPr>
          <w:rFonts w:ascii="Kalpurush" w:cs="Kalpurush" w:eastAsia="Kalpurush" w:hAnsi="Kalpurush"/>
          <w:i/>
          <w:iCs/>
          <w:sz w:val="20"/>
          <w:szCs w:val="20"/>
        </w:rPr>
        <w:t xml:space="preserve"> </w:t>
      </w:r>
      <w:r>
        <w:rPr>
          <w:rFonts w:ascii="Kalpurush" w:cs="Kalpurush" w:eastAsia="Kalpurush" w:hAnsi="Kalpurush"/>
          <w:b/>
          <w:bCs/>
          <w:i/>
          <w:iCs/>
          <w:sz w:val="20"/>
          <w:szCs w:val="20"/>
        </w:rPr>
        <w:t xml:space="preserve">Evidence Act, Section 114(g)</w:t>
      </w:r>
      <w:r>
        <w:rPr>
          <w:rFonts w:ascii="Kalpurush" w:cs="Kalpurush" w:eastAsia="Kalpurush" w:hAnsi="Kalpurush"/>
          <w:i/>
          <w:iCs/>
          <w:sz w:val="20"/>
          <w:szCs w:val="20"/>
        </w:rPr>
        <w:t xml:space="preserve"> (*Statutory Law*)</w:t>
      </w:r>
    </w:p>
    <w:p>
      <w:pPr>
        <w:ind w:left="720"/>
      </w:pPr>
      <w:r>
        <w:rPr>
          <w:rFonts w:ascii="Kalpurush" w:cs="Kalpurush" w:eastAsia="Kalpurush" w:hAnsi="Kalpurush"/>
          <w:b/>
          <w:bCs/>
          <w:i/>
          <w:iCs/>
          <w:sz w:val="20"/>
          <w:szCs w:val="20"/>
        </w:rPr>
        <w:t xml:space="preserve">Legal Principle:</w:t>
      </w:r>
      <w:r>
        <w:rPr>
          <w:rFonts w:ascii="Kalpurush" w:cs="Kalpurush" w:eastAsia="Kalpurush" w:hAnsi="Kalpurush"/>
          <w:i/>
          <w:iCs/>
          <w:sz w:val="20"/>
          <w:szCs w:val="20"/>
        </w:rPr>
        <w:t xml:space="preserve"> "The court may presume that evidence which could be and is not produced would, if produced, be unfavourable to the person who withholds it."</w:t>
      </w:r>
    </w:p>
    <w:p>
      <w:pPr>
        <w:ind w:left="720"/>
      </w:pPr>
      <w:r>
        <w:rPr>
          <w:rFonts w:ascii="Kalpurush" w:cs="Kalpurush" w:eastAsia="Kalpurush" w:hAnsi="Kalpurush"/>
          <w:b/>
          <w:bCs/>
          <w:i/>
          <w:iCs/>
          <w:sz w:val="20"/>
          <w:szCs w:val="20"/>
        </w:rPr>
        <w:t xml:space="preserve">Application to Present Appeal:</w:t>
      </w:r>
      <w:r>
        <w:rPr>
          <w:rFonts w:ascii="Kalpurush" w:cs="Kalpurush" w:eastAsia="Kalpurush" w:hAnsi="Kalpurush"/>
          <w:i/>
          <w:iCs/>
          <w:sz w:val="20"/>
          <w:szCs w:val="20"/>
        </w:rPr>
        <w:t xml:space="preserve"> বর্তমান মামলায় কথিত Misc Case 1181/1969 এর মূল আদেশ বা প্রত্যয়িত কপি গোপন রাখা হইয়াছে। ফলে উক্ত ধারার নীতি সরাসরি প্রযোজ্য—অর্থাৎ ডিক্রিটি বিবাদীদের বিপক্ষে ছিল।</w:t>
      </w:r>
    </w:p>
    <w:p>
      <w:r>
        <w:rPr>
          <w:rFonts w:ascii="Kalpurush" w:cs="Kalpurush" w:eastAsia="Kalpurush" w:hAnsi="Kalpurush"/>
        </w:rPr>
        <w:t xml:space="preserve"/>
      </w:r>
    </w:p>
    <w:p>
      <w:r>
        <w:rPr>
          <w:rFonts w:ascii="Kalpurush" w:cs="Kalpurush" w:eastAsia="Kalpurush" w:hAnsi="Kalpurush"/>
          <w:b/>
          <w:bCs/>
          <w:sz w:val="20"/>
          <w:szCs w:val="20"/>
        </w:rPr>
        <w:t xml:space="preserve">অতএব বিজ্ঞ ট্রায়াল কোর্টের এই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অধ্যায় 4: AC Land ভলিউম নোট বনাম DC Record Room-এর চূড়ান্ত রেকর্ড</w:t>
      </w:r>
    </w:p>
    <w:p>
      <w:r>
        <w:rPr>
          <w:rFonts w:ascii="Kalpurush" w:cs="Kalpurush" w:eastAsia="Kalpurush" w:hAnsi="Kalpurush"/>
        </w:rPr>
        <w:t xml:space="preserve"/>
      </w:r>
    </w:p>
    <w:p>
      <w:r>
        <w:rPr>
          <w:rFonts w:ascii="Kalpurush" w:cs="Kalpurush" w:eastAsia="Kalpurush" w:hAnsi="Kalpurush"/>
          <w:b/>
          <w:bCs/>
          <w:sz w:val="20"/>
          <w:szCs w:val="20"/>
        </w:rPr>
        <w:t xml:space="preserve">বিজ্ঞ ট্রায়াল কোর্টের সিদ্ধান্ত:</w:t>
      </w:r>
    </w:p>
    <w:p>
      <w:pPr>
        <w:ind w:left="720"/>
      </w:pPr>
      <w:r>
        <w:rPr>
          <w:rFonts w:ascii="Kalpurush" w:cs="Kalpurush" w:eastAsia="Kalpurush" w:hAnsi="Kalpurush"/>
          <w:i/>
          <w:iCs/>
          <w:sz w:val="20"/>
          <w:szCs w:val="20"/>
        </w:rPr>
        <w:t xml:space="preserve">"ট্রায়াল কোর্ট AC Land ভলিউমকে DC Record Room-এর সার্টিফাইড কপির উপর প্রাধান্য দিয়াছেন।"</w:t>
      </w:r>
    </w:p>
    <w:p>
      <w:r>
        <w:rPr>
          <w:rFonts w:ascii="Kalpurush" w:cs="Kalpurush" w:eastAsia="Kalpurush" w:hAnsi="Kalpurush"/>
        </w:rPr>
        <w:t xml:space="preserve"/>
      </w:r>
    </w:p>
    <w:p>
      <w:r>
        <w:rPr>
          <w:rFonts w:ascii="Kalpurush" w:cs="Kalpurush" w:eastAsia="Kalpurush" w:hAnsi="Kalpurush"/>
          <w:b/>
          <w:bCs/>
          <w:sz w:val="20"/>
          <w:szCs w:val="20"/>
        </w:rPr>
        <w:t xml:space="preserve">আমাদের আইনি খণ্ডন:</w:t>
      </w:r>
    </w:p>
    <w:p>
      <w:r>
        <w:rPr>
          <w:rFonts w:ascii="Kalpurush" w:cs="Kalpurush" w:eastAsia="Kalpurush" w:hAnsi="Kalpurush"/>
          <w:sz w:val="20"/>
          <w:szCs w:val="20"/>
        </w:rPr>
        <w:t xml:space="preserve">AC Land অফিসের সাক্ষী (DW-4) নিজেই স্বীকার করিয়াছেন যে সোনা ভানুর নাম ভিন্ন কালিতে লেখা। একটি ভিন্ন কালিতে লেখা প্রশাসনিক ভলিউম নোট কখনোই DC Record Room-এর চূড়ান্ত State Record-কে বাতিল করিতে পারে না। অধিকন্তু, ১৯৭৫ সালে বিবাদীদের নিজেদের দলিলে (৩৫৯৬ নং) এস.এ ২৩৮ খতিয়ানের ৬টি দাগের উল্লেখ প্রমাণ করে যে ১৯৬৯ সালে ১ দাগের সংশোধনের দাবিটি মিথ্যা।</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নজির:</w:t>
      </w:r>
      <w:r>
        <w:rPr>
          <w:rFonts w:ascii="Kalpurush" w:cs="Kalpurush" w:eastAsia="Kalpurush" w:hAnsi="Kalpurush"/>
          <w:i/>
          <w:iCs/>
          <w:sz w:val="20"/>
          <w:szCs w:val="20"/>
        </w:rPr>
        <w:t xml:space="preserve"> </w:t>
      </w:r>
      <w:r>
        <w:rPr>
          <w:rFonts w:ascii="Kalpurush" w:cs="Kalpurush" w:eastAsia="Kalpurush" w:hAnsi="Kalpurush"/>
          <w:b/>
          <w:bCs/>
          <w:i/>
          <w:iCs/>
          <w:sz w:val="20"/>
          <w:szCs w:val="20"/>
        </w:rPr>
        <w:t xml:space="preserve">18 SCOB [2023] AD 20</w:t>
      </w:r>
      <w:r>
        <w:rPr>
          <w:rFonts w:ascii="Kalpurush" w:cs="Kalpurush" w:eastAsia="Kalpurush" w:hAnsi="Kalpurush"/>
          <w:i/>
          <w:iCs/>
          <w:sz w:val="20"/>
          <w:szCs w:val="20"/>
        </w:rPr>
        <w:t xml:space="preserve"> (*Mrigangka Mohan Dhali vs. Chitta Ranjan Mondol*)</w:t>
      </w:r>
    </w:p>
    <w:p>
      <w:pPr>
        <w:ind w:left="720"/>
      </w:pPr>
      <w:r>
        <w:rPr>
          <w:rFonts w:ascii="Kalpurush" w:cs="Kalpurush" w:eastAsia="Kalpurush" w:hAnsi="Kalpurush"/>
          <w:b/>
          <w:bCs/>
          <w:i/>
          <w:iCs/>
          <w:sz w:val="20"/>
          <w:szCs w:val="20"/>
        </w:rPr>
        <w:t xml:space="preserve">Legal Principle:</w:t>
      </w:r>
      <w:r>
        <w:rPr>
          <w:rFonts w:ascii="Kalpurush" w:cs="Kalpurush" w:eastAsia="Kalpurush" w:hAnsi="Kalpurush"/>
          <w:i/>
          <w:iCs/>
          <w:sz w:val="20"/>
          <w:szCs w:val="20"/>
        </w:rPr>
        <w:t xml:space="preserve"> Procured or mutated SA record entries cannot override established title, and a revenue officer's entry does not determine ownership.</w:t>
      </w:r>
    </w:p>
    <w:p>
      <w:pPr>
        <w:ind w:left="720"/>
      </w:pPr>
      <w:r>
        <w:rPr>
          <w:rFonts w:ascii="Kalpurush" w:cs="Kalpurush" w:eastAsia="Kalpurush" w:hAnsi="Kalpurush"/>
          <w:b/>
          <w:bCs/>
          <w:i/>
          <w:iCs/>
          <w:sz w:val="20"/>
          <w:szCs w:val="20"/>
        </w:rPr>
        <w:t xml:space="preserve">Application to Present Appeal:</w:t>
      </w:r>
      <w:r>
        <w:rPr>
          <w:rFonts w:ascii="Kalpurush" w:cs="Kalpurush" w:eastAsia="Kalpurush" w:hAnsi="Kalpurush"/>
          <w:i/>
          <w:iCs/>
          <w:sz w:val="20"/>
          <w:szCs w:val="20"/>
        </w:rPr>
        <w:t xml:space="preserve"> AC Land-এর একটি প্রশাসনিক ভলিউমের ভিন্ন কালিতে লেখা মার্জিন নোট কখনোই DC Record Room-এর চূড়ান্ত রেকর্ডকে বাতিল করিতে পারে না।</w:t>
      </w:r>
    </w:p>
    <w:p>
      <w:r>
        <w:rPr>
          <w:rFonts w:ascii="Kalpurush" w:cs="Kalpurush" w:eastAsia="Kalpurush" w:hAnsi="Kalpurush"/>
        </w:rPr>
        <w:t xml:space="preserve"/>
      </w:r>
    </w:p>
    <w:p>
      <w:r>
        <w:rPr>
          <w:rFonts w:ascii="Kalpurush" w:cs="Kalpurush" w:eastAsia="Kalpurush" w:hAnsi="Kalpurush"/>
          <w:b/>
          <w:bCs/>
          <w:sz w:val="20"/>
          <w:szCs w:val="20"/>
        </w:rPr>
        <w:t xml:space="preserve">অতএব বিজ্ঞ ট্রায়াল কোর্টের এই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প্রার্থনা</w:t>
      </w:r>
    </w:p>
    <w:p>
      <w:r>
        <w:rPr>
          <w:rFonts w:ascii="Kalpurush" w:cs="Kalpurush" w:eastAsia="Kalpurush" w:hAnsi="Kalpurush"/>
          <w:sz w:val="20"/>
          <w:szCs w:val="20"/>
        </w:rPr>
        <w:t xml:space="preserve">অতএব, মহামান্য আদালতের নিকট বিনীত প্রার্থনা এই যে, বিজ্ঞ ট্রায়াল কোর্টের রায় বাতিল করিয়া আপীলটি মঞ্জুর করা হোক।</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2026-06-26T15:24:10.737Z</dcterms:created>
  <dcterms:modified xsi:type="dcterms:W3CDTF">2026-06-26T15:24:10.743Z</dcterms:modified>
</cp:coreProperties>
</file>

<file path=docProps/custom.xml><?xml version="1.0" encoding="utf-8"?>
<Properties xmlns="http://schemas.openxmlformats.org/officeDocument/2006/custom-properties" xmlns:vt="http://schemas.openxmlformats.org/officeDocument/2006/docPropsVTypes"/>
</file>