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আপীল শুনানির সারাংশ (v59)</w:t>
      </w:r>
    </w:p>
    <w:p>
      <w:r>
        <w:rPr>
          <w:rFonts w:ascii="Kalpurush" w:cs="Kalpurush" w:eastAsia="Kalpurush" w:hAnsi="Kalpurush"/>
          <w:b/>
          <w:bCs/>
          <w:sz w:val="20"/>
          <w:szCs w:val="20"/>
        </w:rPr>
        <w:t xml:space="preserve">টাঙ্গাইল সিভিল আপীল নং ৩৮/২০২৬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বিজ্ঞ ট্রায়াল কোর্টের রায়টি মূলত নিম্নোক্ত মারাত্মক ভুলের (Errors of Law) উপর দাঁড়িয়ে আছে:</w:t>
      </w:r>
    </w:p>
    <w:p>
      <w:r>
        <w:rPr>
          <w:rFonts w:ascii="Kalpurush" w:cs="Kalpurush" w:eastAsia="Kalpurush" w:hAnsi="Kalpurush"/>
        </w:rPr>
        <w:t xml:space="preserve"/>
      </w:r>
    </w:p>
    <w:p>
      <w:r>
        <w:rPr>
          <w:rFonts w:ascii="Kalpurush" w:cs="Kalpurush" w:eastAsia="Kalpurush" w:hAnsi="Kalpurush"/>
          <w:b/>
          <w:bCs/>
          <w:sz w:val="20"/>
          <w:szCs w:val="20"/>
        </w:rPr>
        <w:t xml:space="preserve">1. আব্দুল করিমের রায়তি স্বত্বের মূল উৎস (Root of Tenancy) প্রমাণে সম্পূর্ণ ব্যর্থতা</w:t>
      </w:r>
    </w:p>
    <w:p>
      <w:pPr>
        <w:pStyle w:val="ListParagraph"/>
        <w:numPr>
          <w:ilvl w:val="0"/>
          <w:numId w:val="1"/>
        </w:numPr>
      </w:pPr>
      <w:r>
        <w:rPr>
          <w:rFonts w:ascii="Kalpurush" w:cs="Kalpurush" w:eastAsia="Kalpurush" w:hAnsi="Kalpurush"/>
          <w:sz w:val="20"/>
          <w:szCs w:val="20"/>
        </w:rPr>
        <w:t xml:space="preserve">ট্রায়াল কোর্টের ভুল: ট্রায়াল কোর্ট বিবাদীদের দাবি মানিয়াছেন যে আব্দুল করিম ১৯৩৪ সালে নবাব এস্টেট হইতে পত্তন পান।</w:t>
      </w:r>
    </w:p>
    <w:p>
      <w:pPr>
        <w:pStyle w:val="ListParagraph"/>
        <w:numPr>
          <w:ilvl w:val="0"/>
          <w:numId w:val="1"/>
        </w:numPr>
      </w:pPr>
      <w:r>
        <w:rPr>
          <w:rFonts w:ascii="Kalpurush" w:cs="Kalpurush" w:eastAsia="Kalpurush" w:hAnsi="Kalpurush"/>
          <w:sz w:val="20"/>
          <w:szCs w:val="20"/>
        </w:rPr>
        <w:t xml:space="preserve">আমাদের আইনি যুক্তি: আইনের সুপ্রতিষ্ঠিত নীতি হলো—বিচ্ছিন্ন খাজনার রসিদ কেবল খাজনা প্রদানের প্রমাণ, ইহা স্বত্ব (Title) বা রায়তি অধিকার সৃষ্টির কোনো দলিল নহে। বিবাদীরা পত্তন বা কবুলিয়ত দাখিল করিতে ব্যর্থ হইয়াছেন। একটি ১৩৩৪ বঙ্গাব্দের দাখিলা (যাহার ক্রমিক নং ৩৪৯, অথচ ২৩ বছর পরের ১৯৫০ সালের দাখিলার ক্রমিক নং ৩৪০) দ্বারা নবাব এস্টেটের পত্তন প্রমাণিত হয় না।</w:t>
      </w:r>
    </w:p>
    <w:p>
      <w:pPr>
        <w:pStyle w:val="ListParagraph"/>
        <w:numPr>
          <w:ilvl w:val="0"/>
          <w:numId w:val="1"/>
        </w:numPr>
      </w:pPr>
      <w:r>
        <w:rPr>
          <w:rFonts w:ascii="Kalpurush" w:cs="Kalpurush" w:eastAsia="Kalpurush" w:hAnsi="Kalpurush"/>
          <w:sz w:val="20"/>
          <w:szCs w:val="20"/>
        </w:rPr>
        <w:t xml:space="preserve">নজির: </w:t>
      </w:r>
      <w:r>
        <w:rPr>
          <w:rFonts w:ascii="Kalpurush" w:cs="Kalpurush" w:eastAsia="Kalpurush" w:hAnsi="Kalpurush"/>
          <w:b/>
          <w:bCs/>
          <w:sz w:val="20"/>
          <w:szCs w:val="20"/>
        </w:rPr>
        <w:t xml:space="preserve">21 ALR (HD) 348</w:t>
      </w:r>
      <w:r>
        <w:rPr>
          <w:rFonts w:ascii="Kalpurush" w:cs="Kalpurush" w:eastAsia="Kalpurush" w:hAnsi="Kalpurush"/>
          <w:sz w:val="20"/>
          <w:szCs w:val="20"/>
        </w:rPr>
        <w:t xml:space="preserve"> (খাজনার রসিদ (দাখিলা) কেবল খাজনা প্রদানের প্রমাণ, ইহা স্বত্ব (Title) বা রায়তি অধিকার সৃষ্টির কোনো দলিল নহে।)</w:t>
      </w:r>
    </w:p>
    <w:p>
      <w:r>
        <w:rPr>
          <w:rFonts w:ascii="Kalpurush" w:cs="Kalpurush" w:eastAsia="Kalpurush" w:hAnsi="Kalpurush"/>
        </w:rPr>
        <w:t xml:space="preserve"/>
      </w:r>
    </w:p>
    <w:p>
      <w:r>
        <w:rPr>
          <w:rFonts w:ascii="Kalpurush" w:cs="Kalpurush" w:eastAsia="Kalpurush" w:hAnsi="Kalpurush"/>
          <w:b/>
          <w:bCs/>
          <w:sz w:val="20"/>
          <w:szCs w:val="20"/>
        </w:rPr>
        <w:t xml:space="preserve">2. এস.এ রেকর্ডের প্রামাণিকতা এবং প্রমাণের দায়ভার (Burden of Proof) উল্টানো</w:t>
      </w:r>
    </w:p>
    <w:p>
      <w:pPr>
        <w:pStyle w:val="ListParagraph"/>
        <w:numPr>
          <w:ilvl w:val="0"/>
          <w:numId w:val="1"/>
        </w:numPr>
      </w:pPr>
      <w:r>
        <w:rPr>
          <w:rFonts w:ascii="Kalpurush" w:cs="Kalpurush" w:eastAsia="Kalpurush" w:hAnsi="Kalpurush"/>
          <w:sz w:val="20"/>
          <w:szCs w:val="20"/>
        </w:rPr>
        <w:t xml:space="preserve">ট্রায়াল কোর্টের ভুল: ট্রায়াল কোর্ট 'Bilquis Jahan' মামলার উদ্ধৃতি দিয়া বাদীকে তাহার মোকদ্দমা প্রমাণের দায়ভার দিয়াছেন এবং एस.এ রেকর্ড বাতিল করিয়াছেন।</w:t>
      </w:r>
    </w:p>
    <w:p>
      <w:pPr>
        <w:pStyle w:val="ListParagraph"/>
        <w:numPr>
          <w:ilvl w:val="0"/>
          <w:numId w:val="1"/>
        </w:numPr>
      </w:pPr>
      <w:r>
        <w:rPr>
          <w:rFonts w:ascii="Kalpurush" w:cs="Kalpurush" w:eastAsia="Kalpurush" w:hAnsi="Kalpurush"/>
          <w:sz w:val="20"/>
          <w:szCs w:val="20"/>
        </w:rPr>
        <w:t xml:space="preserve">আমাদের আইনি যুক্তি: এস.এ ২৩৮ খতিয়ানটি আব্দুল আলীর নামে চূড়ান্তভাবে প্রকাশিত। এই রেকর্ডটি সঠিক বলিয়া আইনি অনুমান (presumption) লাভ করে। বাদীপক্ষ এই রেকর্ড দাখিল করার পর ইহা ভুল প্রমাণ করার সম্পূর্ণ দায়ভার ছিল বিবাদীদের। ট্রায়াল কোর্ট এই প্রতিষ্ঠিত নীতি লঙ্ঘন করিয়াছেন।</w:t>
      </w:r>
    </w:p>
    <w:p>
      <w:pPr>
        <w:pStyle w:val="ListParagraph"/>
        <w:numPr>
          <w:ilvl w:val="0"/>
          <w:numId w:val="1"/>
        </w:numPr>
      </w:pPr>
      <w:r>
        <w:rPr>
          <w:rFonts w:ascii="Kalpurush" w:cs="Kalpurush" w:eastAsia="Kalpurush" w:hAnsi="Kalpurush"/>
          <w:sz w:val="20"/>
          <w:szCs w:val="20"/>
        </w:rPr>
        <w:t xml:space="preserve">নজির: </w:t>
      </w:r>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("A record of rights finally published and revised under section 144A of the S.A.T. Act has a presumption of correctness and that presumption continues till it is rebutted by reliable evidence.")</w:t>
      </w:r>
    </w:p>
    <w:p>
      <w:pPr>
        <w:pStyle w:val="ListParagraph"/>
        <w:numPr>
          <w:ilvl w:val="0"/>
          <w:numId w:val="1"/>
        </w:numPr>
      </w:pPr>
      <w:r>
        <w:rPr>
          <w:rFonts w:ascii="Kalpurush" w:cs="Kalpurush" w:eastAsia="Kalpurush" w:hAnsi="Kalpurush"/>
          <w:sz w:val="20"/>
          <w:szCs w:val="20"/>
        </w:rPr>
        <w:t xml:space="preserve">নজির: </w:t>
      </w: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("The onus to prove that the entry in the finally published record of rights is wrong lies heavily upon the party who challenges it.")</w:t>
      </w:r>
    </w:p>
    <w:p>
      <w:r>
        <w:rPr>
          <w:rFonts w:ascii="Kalpurush" w:cs="Kalpurush" w:eastAsia="Kalpurush" w:hAnsi="Kalpurush"/>
        </w:rPr>
        <w:t xml:space="preserve"/>
      </w:r>
    </w:p>
    <w:p>
      <w:r>
        <w:rPr>
          <w:rFonts w:ascii="Kalpurush" w:cs="Kalpurush" w:eastAsia="Kalpurush" w:hAnsi="Kalpurush"/>
          <w:b/>
          <w:bCs/>
          <w:sz w:val="20"/>
          <w:szCs w:val="20"/>
        </w:rPr>
        <w:t xml:space="preserve">3. সর্বোত্তম সাক্ষ্য গোপনের ফলে প্রতিকূল অনুমান (Adverse Inference) প্রযোজ্য</w:t>
      </w:r>
    </w:p>
    <w:p>
      <w:pPr>
        <w:pStyle w:val="ListParagraph"/>
        <w:numPr>
          <w:ilvl w:val="0"/>
          <w:numId w:val="1"/>
        </w:numPr>
      </w:pPr>
      <w:r>
        <w:rPr>
          <w:rFonts w:ascii="Kalpurush" w:cs="Kalpurush" w:eastAsia="Kalpurush" w:hAnsi="Kalpurush"/>
          <w:sz w:val="20"/>
          <w:szCs w:val="20"/>
        </w:rPr>
        <w:t xml:space="preserve">ট্রায়াল কোর্টের ভুল: ট্রায়াল কোর্ট আদেশের কপি ছাড়াই Misc Case 1181/1969 এর আদেশের অস্তিত্ব মানিয়া লইয়াছেন।</w:t>
      </w:r>
    </w:p>
    <w:p>
      <w:pPr>
        <w:pStyle w:val="ListParagraph"/>
        <w:numPr>
          <w:ilvl w:val="0"/>
          <w:numId w:val="1"/>
        </w:numPr>
      </w:pPr>
      <w:r>
        <w:rPr>
          <w:rFonts w:ascii="Kalpurush" w:cs="Kalpurush" w:eastAsia="Kalpurush" w:hAnsi="Kalpurush"/>
          <w:sz w:val="20"/>
          <w:szCs w:val="20"/>
        </w:rPr>
        <w:t xml:space="preserve">আমাদের আইনি যুক্তি: Evidence Act এর বিধান অনুযায়ী কোনো বিচারিক আদেশ তাহার প্রাথমিক বা মাধ্যমিক (সার্টিফাইড) কপি দ্বারা প্রমাণ করিতে হয়। বিবাদীরা উক্ত আদেশের কপি দাখিল করেন নাই।</w:t>
      </w:r>
    </w:p>
    <w:p>
      <w:pPr>
        <w:pStyle w:val="ListParagraph"/>
        <w:numPr>
          <w:ilvl w:val="0"/>
          <w:numId w:val="1"/>
        </w:numPr>
      </w:pPr>
      <w:r>
        <w:rPr>
          <w:rFonts w:ascii="Kalpurush" w:cs="Kalpurush" w:eastAsia="Kalpurush" w:hAnsi="Kalpurush"/>
          <w:sz w:val="20"/>
          <w:szCs w:val="20"/>
        </w:rPr>
        <w:t xml:space="preserve">নজির: </w:t>
      </w: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("The court may presume that evidence which could be and is not produced would, if produced, be unfavourable to the person who withholds it.")</w:t>
      </w:r>
    </w:p>
    <w:p>
      <w:r>
        <w:rPr>
          <w:rFonts w:ascii="Kalpurush" w:cs="Kalpurush" w:eastAsia="Kalpurush" w:hAnsi="Kalpurush"/>
        </w:rPr>
        <w:t xml:space="preserve"/>
      </w:r>
    </w:p>
    <w:p>
      <w:r>
        <w:rPr>
          <w:rFonts w:ascii="Kalpurush" w:cs="Kalpurush" w:eastAsia="Kalpurush" w:hAnsi="Kalpurush"/>
          <w:b/>
          <w:bCs/>
          <w:sz w:val="20"/>
          <w:szCs w:val="20"/>
        </w:rPr>
        <w:t xml:space="preserve">4. AC Land ভলিউম নোট বনাম DC Record Room-এর চূড়ান্ত রেকর্ড</w:t>
      </w:r>
    </w:p>
    <w:p>
      <w:pPr>
        <w:pStyle w:val="ListParagraph"/>
        <w:numPr>
          <w:ilvl w:val="0"/>
          <w:numId w:val="1"/>
        </w:numPr>
      </w:pPr>
      <w:r>
        <w:rPr>
          <w:rFonts w:ascii="Kalpurush" w:cs="Kalpurush" w:eastAsia="Kalpurush" w:hAnsi="Kalpurush"/>
          <w:sz w:val="20"/>
          <w:szCs w:val="20"/>
        </w:rPr>
        <w:t xml:space="preserve">ট্রায়াল কোর্টের ভুল: ট্রায়াল কোর্ট AC Land ভলিউমকে DC Record Room-এর সার্টিফাইড কপির উপর প্রাধান্য দিয়াছেন।</w:t>
      </w:r>
    </w:p>
    <w:p>
      <w:pPr>
        <w:pStyle w:val="ListParagraph"/>
        <w:numPr>
          <w:ilvl w:val="0"/>
          <w:numId w:val="1"/>
        </w:numPr>
      </w:pPr>
      <w:r>
        <w:rPr>
          <w:rFonts w:ascii="Kalpurush" w:cs="Kalpurush" w:eastAsia="Kalpurush" w:hAnsi="Kalpurush"/>
          <w:sz w:val="20"/>
          <w:szCs w:val="20"/>
        </w:rPr>
        <w:t xml:space="preserve">আমাদের আইনি যুক্তি: AC Land অফিসের সাক্ষী (DW-4) নিজেই স্বীকার করিয়াছেন যে সোনা ভানুর নাম ভিন্ন কালিতে লেখা। একটি ভিন্ন কালিতে লেখা প্রশাসনিক ভলিউম নোট কখনোই DC Record Room-এর চূড়ান্ত State Record-কে বাতিল করিতে পারে না। অধিকন্তু, ১৯৭৫ সালে বিবাদীদের নিজেদের দলিলে (৩৫৯৬ নং) এস.এ ২৩৮ খতিয়ানের ৬টি দাগের উল্লেখ প্রমাণ করে যে ১৯৬৯ সালে ১ দাগের সংশোধনের দাবিটি মিথ্যা।</w:t>
      </w:r>
    </w:p>
    <w:p>
      <w:pPr>
        <w:pStyle w:val="ListParagraph"/>
        <w:numPr>
          <w:ilvl w:val="0"/>
          <w:numId w:val="1"/>
        </w:numPr>
      </w:pPr>
      <w:r>
        <w:rPr>
          <w:rFonts w:ascii="Kalpurush" w:cs="Kalpurush" w:eastAsia="Kalpurush" w:hAnsi="Kalpurush"/>
          <w:sz w:val="20"/>
          <w:szCs w:val="20"/>
        </w:rPr>
        <w:t xml:space="preserve">নজির: </w:t>
      </w: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(Procured or mutated SA record entries cannot override established title, and a revenue officer's entry does not determine ownership.)</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b/>
          <w:bCs/>
          <w:sz w:val="20"/>
          <w:szCs w:val="20"/>
        </w:rPr>
        <w:t xml:space="preserve">সিদ্ধান্ত:</w:t>
      </w:r>
      <w:r>
        <w:rPr>
          <w:rFonts w:ascii="Kalpurush" w:cs="Kalpurush" w:eastAsia="Kalpurush" w:hAnsi="Kalpurush"/>
          <w:sz w:val="20"/>
          <w:szCs w:val="20"/>
        </w:rPr>
        <w:t xml:space="preserve"> ট্রায়াল কোর্ট সম্পূর্ণ বেআইনিভাবে একটি State Record বাতিল করিয়াছেন। অতএব উক্ত রায় আইনত বাতিলযোগ্য।</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2026-06-26T15:24:10.777Z</dcterms:created>
  <dcterms:modified xsi:type="dcterms:W3CDTF">2026-06-26T15:24:10.777Z</dcterms:modified>
</cp:coreProperties>
</file>

<file path=docProps/custom.xml><?xml version="1.0" encoding="utf-8"?>
<Properties xmlns="http://schemas.openxmlformats.org/officeDocument/2006/custom-properties" xmlns:vt="http://schemas.openxmlformats.org/officeDocument/2006/docPropsVTypes"/>
</file>