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আপীল শুনানির সারাংশ (v60)</w:t>
      </w:r>
    </w:p>
    <w:p>
      <w:r>
        <w:rPr>
          <w:rFonts w:ascii="Kalpurush" w:cs="Kalpurush" w:eastAsia="Kalpurush" w:hAnsi="Kalpurush"/>
          <w:b/>
          <w:bCs/>
          <w:sz w:val="20"/>
          <w:szCs w:val="20"/>
        </w:rPr>
        <w:t xml:space="preserve">টাঙ্গাইল সিভিল আপীল নং ৩৮/২০২৬</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বিজ্ঞ ট্রায়াল কোর্টের রায়টি মূলত নিম্নোক্ত পাঁচটি আইনি ভুলের (Errors of Law) কারণে বাতিলযোগ্য:</w:t>
      </w:r>
    </w:p>
    <w:p>
      <w:r>
        <w:rPr>
          <w:rFonts w:ascii="Kalpurush" w:cs="Kalpurush" w:eastAsia="Kalpurush" w:hAnsi="Kalpurush"/>
        </w:rPr>
        <w:t xml:space="preserve"/>
      </w:r>
    </w:p>
    <w:p>
      <w:r>
        <w:rPr>
          <w:rFonts w:ascii="Kalpurush" w:cs="Kalpurush" w:eastAsia="Kalpurush" w:hAnsi="Kalpurush"/>
          <w:b/>
          <w:bCs/>
          <w:sz w:val="20"/>
          <w:szCs w:val="20"/>
        </w:rPr>
        <w:t xml:space="preserve">1. অধ্যায় ১: আব্দুল করিমের রায়তি স্বত্বের মূল উৎস (Root Tenancy) প্রমাণে সম্পূর্ণ ব্যর্থতা</w:t>
      </w:r>
    </w:p>
    <w:p>
      <w:pPr>
        <w:pStyle w:val="ListParagraph"/>
        <w:numPr>
          <w:ilvl w:val="0"/>
          <w:numId w:val="1"/>
        </w:numPr>
      </w:pPr>
      <w:r>
        <w:rPr>
          <w:rFonts w:ascii="Kalpurush" w:cs="Kalpurush" w:eastAsia="Kalpurush" w:hAnsi="Kalpurush"/>
          <w:b/>
          <w:bCs/>
          <w:sz w:val="20"/>
          <w:szCs w:val="20"/>
        </w:rPr>
        <w:t xml:space="preserve">ট্রায়াল কোর্টের ভুল:</w:t>
      </w:r>
      <w:r>
        <w:rPr>
          <w:rFonts w:ascii="Kalpurush" w:cs="Kalpurush" w:eastAsia="Kalpurush" w:hAnsi="Kalpurush"/>
          <w:sz w:val="20"/>
          <w:szCs w:val="20"/>
        </w:rPr>
        <w:t xml:space="preserve"> ট্রায়াল কোর্ট বিবাদীদের দাবি মানিয়া লইয়াছেন যে আব্দুল করিম ১৯৩৪ সালে নবাব এস্টেট হইতে ৩৪৯ শতাংশ ভূমির পত্তন লাভ করেন।</w:t>
      </w:r>
    </w:p>
    <w:p>
      <w:pPr>
        <w:pStyle w:val="ListParagraph"/>
        <w:numPr>
          <w:ilvl w:val="0"/>
          <w:numId w:val="1"/>
        </w:numPr>
      </w:pPr>
      <w:r>
        <w:rPr>
          <w:rFonts w:ascii="Kalpurush" w:cs="Kalpurush" w:eastAsia="Kalpurush" w:hAnsi="Kalpurush"/>
          <w:b/>
          <w:bCs/>
          <w:sz w:val="20"/>
          <w:szCs w:val="20"/>
        </w:rPr>
        <w:t xml:space="preserve">আমাদের খণ্ডন:</w:t>
      </w:r>
      <w:r>
        <w:rPr>
          <w:rFonts w:ascii="Kalpurush" w:cs="Kalpurush" w:eastAsia="Kalpurush" w:hAnsi="Kalpurush"/>
          <w:sz w:val="20"/>
          <w:szCs w:val="20"/>
        </w:rPr>
        <w:t xml:space="preserve"> এই সিদ্ধান্ত অসম্ভব, কারণ বিবাদীরা আদালতে কোনো পত্তন দলিল (Patta), কবুলিয়ত, সি.এস খতিয়ান বা এস্টেট রিটার্ন দাখিল করেন নাই। ট্রায়াল কোর্ট একটি ভিত্তিহীন অনুমানের উপর দাঁড়াইয়া আব্দুল করিমের স্বত্ব স্বীকার করিয়াছেন।</w:t>
      </w:r>
    </w:p>
    <w:p>
      <w:pPr>
        <w:pStyle w:val="ListParagraph"/>
        <w:numPr>
          <w:ilvl w:val="0"/>
          <w:numId w:val="1"/>
        </w:numPr>
      </w:pPr>
      <w:r>
        <w:rPr>
          <w:rFonts w:ascii="Kalpurush" w:cs="Kalpurush" w:eastAsia="Kalpurush" w:hAnsi="Kalpurush"/>
          <w:b/>
          <w:bCs/>
          <w:sz w:val="20"/>
          <w:szCs w:val="20"/>
        </w:rPr>
        <w:t xml:space="preserve">নজির প্রয়োগ:</w:t>
      </w:r>
      <w:r>
        <w:rPr>
          <w:rFonts w:ascii="Kalpurush" w:cs="Kalpurush" w:eastAsia="Kalpurush" w:hAnsi="Kalpurush"/>
          <w:sz w:val="20"/>
          <w:szCs w:val="20"/>
        </w:rPr>
        <w:t xml:space="preserve"> </w:t>
      </w:r>
      <w:r>
        <w:rPr>
          <w:rFonts w:ascii="Kalpurush" w:cs="Kalpurush" w:eastAsia="Kalpurush" w:hAnsi="Kalpurush"/>
          <w:b/>
          <w:bCs/>
          <w:sz w:val="20"/>
          <w:szCs w:val="20"/>
        </w:rPr>
        <w:t xml:space="preserve">21 ALR (HD) 348</w:t>
      </w:r>
      <w:r>
        <w:rPr>
          <w:rFonts w:ascii="Kalpurush" w:cs="Kalpurush" w:eastAsia="Kalpurush" w:hAnsi="Kalpurush"/>
          <w:sz w:val="20"/>
          <w:szCs w:val="20"/>
        </w:rPr>
        <w:t xml:space="preserve"> (খাজনার রসিদ (দাখিলা) কেবল খাজনা প্রদানের প্রমাণ, ইহা স্বত্ব (Title) বা রায়তি অধিকার সৃষ্টির কোনো প্রাথমিক দলিল নহে।)</w:t>
      </w:r>
    </w:p>
    <w:p>
      <w:r>
        <w:rPr>
          <w:rFonts w:ascii="Kalpurush" w:cs="Kalpurush" w:eastAsia="Kalpurush" w:hAnsi="Kalpurush"/>
        </w:rPr>
        <w:t xml:space="preserve"/>
      </w:r>
    </w:p>
    <w:p>
      <w:r>
        <w:rPr>
          <w:rFonts w:ascii="Kalpurush" w:cs="Kalpurush" w:eastAsia="Kalpurush" w:hAnsi="Kalpurush"/>
          <w:b/>
          <w:bCs/>
          <w:sz w:val="20"/>
          <w:szCs w:val="20"/>
        </w:rPr>
        <w:t xml:space="preserve">2. অধ্যায় ২: State Acquisition-এর আইনি তাৎপর্য এবং এস.এ রেকর্ডের প্রামাণিকতা</w:t>
      </w:r>
    </w:p>
    <w:p>
      <w:pPr>
        <w:pStyle w:val="ListParagraph"/>
        <w:numPr>
          <w:ilvl w:val="0"/>
          <w:numId w:val="1"/>
        </w:numPr>
      </w:pPr>
      <w:r>
        <w:rPr>
          <w:rFonts w:ascii="Kalpurush" w:cs="Kalpurush" w:eastAsia="Kalpurush" w:hAnsi="Kalpurush"/>
          <w:b/>
          <w:bCs/>
          <w:sz w:val="20"/>
          <w:szCs w:val="20"/>
        </w:rPr>
        <w:t xml:space="preserve">ট্রায়াল কোর্টের ভুল:</w:t>
      </w:r>
      <w:r>
        <w:rPr>
          <w:rFonts w:ascii="Kalpurush" w:cs="Kalpurush" w:eastAsia="Kalpurush" w:hAnsi="Kalpurush"/>
          <w:sz w:val="20"/>
          <w:szCs w:val="20"/>
        </w:rPr>
        <w:t xml:space="preserve"> ট্রায়াল কোর্ট প্রাক্-এস.এ (Pre-SA) আমলের একটি বিচ্ছিন্ন দাখিলাকে ভিত্তি করিয়া এস.এ জরিপে রাষ্ট্র কর্তৃক চূড়ান্তভাবে প্রকাশিত রেকর্ডকে অস্বীকার করিয়াছেন।</w:t>
      </w:r>
    </w:p>
    <w:p>
      <w:pPr>
        <w:pStyle w:val="ListParagraph"/>
        <w:numPr>
          <w:ilvl w:val="0"/>
          <w:numId w:val="1"/>
        </w:numPr>
      </w:pPr>
      <w:r>
        <w:rPr>
          <w:rFonts w:ascii="Kalpurush" w:cs="Kalpurush" w:eastAsia="Kalpurush" w:hAnsi="Kalpurush"/>
          <w:b/>
          <w:bCs/>
          <w:sz w:val="20"/>
          <w:szCs w:val="20"/>
        </w:rPr>
        <w:t xml:space="preserve">আমাদের খণ্ডন:</w:t>
      </w:r>
      <w:r>
        <w:rPr>
          <w:rFonts w:ascii="Kalpurush" w:cs="Kalpurush" w:eastAsia="Kalpurush" w:hAnsi="Kalpurush"/>
          <w:sz w:val="20"/>
          <w:szCs w:val="20"/>
        </w:rPr>
        <w:t xml:space="preserve"> State Acquisition (রাষ্ট্রীয় অধিগ্রহণ) এর পর পূর্বেকার সকল ব্যক্তিগত রাজস্ব কার্যক্রম বিলুপ্ত হয়। এস.এ ২৩৮ খতিয়ানটি আব্দুল আলীর নামে প্রকাশিত হওয়ার অর্থ হলো স্বয়ং রাষ্ট্র আব্দুল আলীকে উক্ত ভূমির একক রায়ত হিসেবে আইনি স্বীকৃতি (State Recognition) প্রদান করিয়াছে।</w:t>
      </w:r>
    </w:p>
    <w:p>
      <w:pPr>
        <w:pStyle w:val="ListParagraph"/>
        <w:numPr>
          <w:ilvl w:val="0"/>
          <w:numId w:val="1"/>
        </w:numPr>
      </w:pPr>
      <w:r>
        <w:rPr>
          <w:rFonts w:ascii="Kalpurush" w:cs="Kalpurush" w:eastAsia="Kalpurush" w:hAnsi="Kalpurush"/>
          <w:b/>
          <w:bCs/>
          <w:sz w:val="20"/>
          <w:szCs w:val="20"/>
        </w:rPr>
        <w:t xml:space="preserve">নজির প্রয়োগ:</w:t>
      </w:r>
      <w:r>
        <w:rPr>
          <w:rFonts w:ascii="Kalpurush" w:cs="Kalpurush" w:eastAsia="Kalpurush" w:hAnsi="Kalpurush"/>
          <w:sz w:val="20"/>
          <w:szCs w:val="20"/>
        </w:rPr>
        <w:t xml:space="preserve"> </w:t>
      </w:r>
      <w:r>
        <w:rPr>
          <w:rFonts w:ascii="Kalpurush" w:cs="Kalpurush" w:eastAsia="Kalpurush" w:hAnsi="Kalpurush"/>
          <w:b/>
          <w:bCs/>
          <w:sz w:val="20"/>
          <w:szCs w:val="20"/>
        </w:rPr>
        <w:t xml:space="preserve">50 DLR 186</w:t>
      </w:r>
      <w:r>
        <w:rPr>
          <w:rFonts w:ascii="Kalpurush" w:cs="Kalpurush" w:eastAsia="Kalpurush" w:hAnsi="Kalpurush"/>
          <w:sz w:val="20"/>
          <w:szCs w:val="20"/>
        </w:rPr>
        <w:t xml:space="preserve"> ("A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r>
        <w:rPr>
          <w:rFonts w:ascii="Kalpurush" w:cs="Kalpurush" w:eastAsia="Kalpurush" w:hAnsi="Kalpurush"/>
          <w:b/>
          <w:bCs/>
          <w:sz w:val="20"/>
          <w:szCs w:val="20"/>
        </w:rPr>
        <w:t xml:space="preserve">3. অধ্যায় ৩: প্রমাণের দায়ভার (Burden of Proof) উল্টানোর মারাত্মক ভুল</w:t>
      </w:r>
    </w:p>
    <w:p>
      <w:pPr>
        <w:pStyle w:val="ListParagraph"/>
        <w:numPr>
          <w:ilvl w:val="0"/>
          <w:numId w:val="1"/>
        </w:numPr>
      </w:pPr>
      <w:r>
        <w:rPr>
          <w:rFonts w:ascii="Kalpurush" w:cs="Kalpurush" w:eastAsia="Kalpurush" w:hAnsi="Kalpurush"/>
          <w:b/>
          <w:bCs/>
          <w:sz w:val="20"/>
          <w:szCs w:val="20"/>
        </w:rPr>
        <w:t xml:space="preserve">ট্রায়াল কোর্টের ভুল:</w:t>
      </w:r>
      <w:r>
        <w:rPr>
          <w:rFonts w:ascii="Kalpurush" w:cs="Kalpurush" w:eastAsia="Kalpurush" w:hAnsi="Kalpurush"/>
          <w:sz w:val="20"/>
          <w:szCs w:val="20"/>
        </w:rPr>
        <w:t xml:space="preserve"> ট্রায়াল কোর্ট 'Bilquis Jahan' মামলার উদ্ধৃতি দিয়া বাদীকে তাহার মোকদ্দমা প্রমাণের সম্পূর্ণ দায়ভার দিয়াছেন এবং এস.এ রেকর্ডকে বাতিল করিয়াছেন।</w:t>
      </w:r>
    </w:p>
    <w:p>
      <w:pPr>
        <w:pStyle w:val="ListParagraph"/>
        <w:numPr>
          <w:ilvl w:val="0"/>
          <w:numId w:val="1"/>
        </w:numPr>
      </w:pPr>
      <w:r>
        <w:rPr>
          <w:rFonts w:ascii="Kalpurush" w:cs="Kalpurush" w:eastAsia="Kalpurush" w:hAnsi="Kalpurush"/>
          <w:b/>
          <w:bCs/>
          <w:sz w:val="20"/>
          <w:szCs w:val="20"/>
        </w:rPr>
        <w:t xml:space="preserve">আমাদের খণ্ডন:</w:t>
      </w:r>
      <w:r>
        <w:rPr>
          <w:rFonts w:ascii="Kalpurush" w:cs="Kalpurush" w:eastAsia="Kalpurush" w:hAnsi="Kalpurush"/>
          <w:sz w:val="20"/>
          <w:szCs w:val="20"/>
        </w:rPr>
        <w:t xml:space="preserve"> আইনের প্রতিষ্ঠিত নীতি হলো—যিনি রেকর্ড চ্যালেঞ্জ করিবেন, প্রমাণ করিবার দায়ভার তাহার। বাদীপক্ষ যখন finally published SA Khatian আদালতে উপস্থাপন করিলেন, তখন Evidence Act 103 অনুযায়ী ইহা ভুল প্রমাণ করিবার সম্পূর্ণ আইনি দায়ভার (Burden of Proof) বিবাদীদের উপর স্থানান্তরিত (Shifted) হইয়াছিল।</w:t>
      </w:r>
    </w:p>
    <w:p>
      <w:pPr>
        <w:pStyle w:val="ListParagraph"/>
        <w:numPr>
          <w:ilvl w:val="0"/>
          <w:numId w:val="1"/>
        </w:numPr>
      </w:pPr>
      <w:r>
        <w:rPr>
          <w:rFonts w:ascii="Kalpurush" w:cs="Kalpurush" w:eastAsia="Kalpurush" w:hAnsi="Kalpurush"/>
          <w:b/>
          <w:bCs/>
          <w:sz w:val="20"/>
          <w:szCs w:val="20"/>
        </w:rPr>
        <w:t xml:space="preserve">নজির প্রয়োগ:</w:t>
      </w:r>
      <w:r>
        <w:rPr>
          <w:rFonts w:ascii="Kalpurush" w:cs="Kalpurush" w:eastAsia="Kalpurush" w:hAnsi="Kalpurush"/>
          <w:sz w:val="20"/>
          <w:szCs w:val="20"/>
        </w:rPr>
        <w:t xml:space="preserve"> </w:t>
      </w:r>
      <w:r>
        <w:rPr>
          <w:rFonts w:ascii="Kalpurush" w:cs="Kalpurush" w:eastAsia="Kalpurush" w:hAnsi="Kalpurush"/>
          <w:b/>
          <w:bCs/>
          <w:sz w:val="20"/>
          <w:szCs w:val="20"/>
        </w:rPr>
        <w:t xml:space="preserve">35 DLR (AD) 230</w:t>
      </w:r>
      <w:r>
        <w:rPr>
          <w:rFonts w:ascii="Kalpurush" w:cs="Kalpurush" w:eastAsia="Kalpurush" w:hAnsi="Kalpurush"/>
          <w:sz w:val="20"/>
          <w:szCs w:val="20"/>
        </w:rPr>
        <w:t xml:space="preserve"> ("The onus to prove that the entry in the finally published record of rights is wrong lies heavily upon the party who challenges it.")</w:t>
      </w:r>
    </w:p>
    <w:p>
      <w:r>
        <w:rPr>
          <w:rFonts w:ascii="Kalpurush" w:cs="Kalpurush" w:eastAsia="Kalpurush" w:hAnsi="Kalpurush"/>
        </w:rPr>
        <w:t xml:space="preserve"/>
      </w:r>
    </w:p>
    <w:p>
      <w:r>
        <w:rPr>
          <w:rFonts w:ascii="Kalpurush" w:cs="Kalpurush" w:eastAsia="Kalpurush" w:hAnsi="Kalpurush"/>
          <w:b/>
          <w:bCs/>
          <w:sz w:val="20"/>
          <w:szCs w:val="20"/>
        </w:rPr>
        <w:t xml:space="preserve">4. অধ্যায় ৪: সর্বোত্তম সাক্ষ্য গোপনের ফলে প্রতিকূল অনুমান (Adverse Inference)</w:t>
      </w:r>
    </w:p>
    <w:p>
      <w:pPr>
        <w:pStyle w:val="ListParagraph"/>
        <w:numPr>
          <w:ilvl w:val="0"/>
          <w:numId w:val="1"/>
        </w:numPr>
      </w:pPr>
      <w:r>
        <w:rPr>
          <w:rFonts w:ascii="Kalpurush" w:cs="Kalpurush" w:eastAsia="Kalpurush" w:hAnsi="Kalpurush"/>
          <w:b/>
          <w:bCs/>
          <w:sz w:val="20"/>
          <w:szCs w:val="20"/>
        </w:rPr>
        <w:t xml:space="preserve">ট্রায়াল কোর্টের ভুল:</w:t>
      </w:r>
      <w:r>
        <w:rPr>
          <w:rFonts w:ascii="Kalpurush" w:cs="Kalpurush" w:eastAsia="Kalpurush" w:hAnsi="Kalpurush"/>
          <w:sz w:val="20"/>
          <w:szCs w:val="20"/>
        </w:rPr>
        <w:t xml:space="preserve"> ট্রায়াল কোর্ট ১১৮১/১৯৬৯ নং Misc Case-এর মূল আদেশ বা সার্টিফাইড কপি ছাড়াই উক্ত মামলার রায় বিবাদীদের পক্ষে গিয়াছিল মর্মে গ্রহণ করিয়াছেন।</w:t>
      </w:r>
    </w:p>
    <w:p>
      <w:pPr>
        <w:pStyle w:val="ListParagraph"/>
        <w:numPr>
          <w:ilvl w:val="0"/>
          <w:numId w:val="1"/>
        </w:numPr>
      </w:pPr>
      <w:r>
        <w:rPr>
          <w:rFonts w:ascii="Kalpurush" w:cs="Kalpurush" w:eastAsia="Kalpurush" w:hAnsi="Kalpurush"/>
          <w:b/>
          <w:bCs/>
          <w:sz w:val="20"/>
          <w:szCs w:val="20"/>
        </w:rPr>
        <w:t xml:space="preserve">আমাদের খণ্ডন:</w:t>
      </w:r>
      <w:r>
        <w:rPr>
          <w:rFonts w:ascii="Kalpurush" w:cs="Kalpurush" w:eastAsia="Kalpurush" w:hAnsi="Kalpurush"/>
          <w:sz w:val="20"/>
          <w:szCs w:val="20"/>
        </w:rPr>
        <w:t xml:space="preserve"> একটি আইনি রায় বা আদেশ কখনোই প্রশাসনিক ভলিউমের মার্জিন নোট দ্বারা প্রমাণ করা যায় না। আদেশের কপি আদালতে উপস্থাপন না করা একটি সাধারণ ত্রুটি নহে, বরং এটি একটি সুনির্দিষ্ট Evidence Act এর লঙ্ঘন।</w:t>
      </w:r>
    </w:p>
    <w:p>
      <w:pPr>
        <w:pStyle w:val="ListParagraph"/>
        <w:numPr>
          <w:ilvl w:val="0"/>
          <w:numId w:val="1"/>
        </w:numPr>
      </w:pPr>
      <w:r>
        <w:rPr>
          <w:rFonts w:ascii="Kalpurush" w:cs="Kalpurush" w:eastAsia="Kalpurush" w:hAnsi="Kalpurush"/>
          <w:b/>
          <w:bCs/>
          <w:sz w:val="20"/>
          <w:szCs w:val="20"/>
        </w:rPr>
        <w:t xml:space="preserve">নজির প্রয়োগ:</w:t>
      </w:r>
      <w:r>
        <w:rPr>
          <w:rFonts w:ascii="Kalpurush" w:cs="Kalpurush" w:eastAsia="Kalpurush" w:hAnsi="Kalpurush"/>
          <w:sz w:val="20"/>
          <w:szCs w:val="20"/>
        </w:rPr>
        <w:t xml:space="preserve"> </w:t>
      </w:r>
      <w:r>
        <w:rPr>
          <w:rFonts w:ascii="Kalpurush" w:cs="Kalpurush" w:eastAsia="Kalpurush" w:hAnsi="Kalpurush"/>
          <w:b/>
          <w:bCs/>
          <w:sz w:val="20"/>
          <w:szCs w:val="20"/>
        </w:rPr>
        <w:t xml:space="preserve">Evidence Act, Section 114(g)</w:t>
      </w:r>
      <w:r>
        <w:rPr>
          <w:rFonts w:ascii="Kalpurush" w:cs="Kalpurush" w:eastAsia="Kalpurush" w:hAnsi="Kalpurush"/>
          <w:sz w:val="20"/>
          <w:szCs w:val="20"/>
        </w:rPr>
        <w:t xml:space="preserve"> ("The court may presume that evidence which could be and is not produced would, if produced, be unfavourable to the person who withholds it.")</w:t>
      </w:r>
    </w:p>
    <w:p>
      <w:r>
        <w:rPr>
          <w:rFonts w:ascii="Kalpurush" w:cs="Kalpurush" w:eastAsia="Kalpurush" w:hAnsi="Kalpurush"/>
        </w:rPr>
        <w:t xml:space="preserve"/>
      </w:r>
    </w:p>
    <w:p>
      <w:r>
        <w:rPr>
          <w:rFonts w:ascii="Kalpurush" w:cs="Kalpurush" w:eastAsia="Kalpurush" w:hAnsi="Kalpurush"/>
          <w:b/>
          <w:bCs/>
          <w:sz w:val="20"/>
          <w:szCs w:val="20"/>
        </w:rPr>
        <w:t xml:space="preserve">5. অধ্যায় ৫: AC Land ভলিউম নোটের পতন এবং ১৯৭৫ সালের দলিলে বিবাদীদের স্ববিরোধিতা</w:t>
      </w:r>
    </w:p>
    <w:p>
      <w:pPr>
        <w:pStyle w:val="ListParagraph"/>
        <w:numPr>
          <w:ilvl w:val="0"/>
          <w:numId w:val="1"/>
        </w:numPr>
      </w:pPr>
      <w:r>
        <w:rPr>
          <w:rFonts w:ascii="Kalpurush" w:cs="Kalpurush" w:eastAsia="Kalpurush" w:hAnsi="Kalpurush"/>
          <w:b/>
          <w:bCs/>
          <w:sz w:val="20"/>
          <w:szCs w:val="20"/>
        </w:rPr>
        <w:t xml:space="preserve">ট্রায়াল কোর্টের ভুল:</w:t>
      </w:r>
      <w:r>
        <w:rPr>
          <w:rFonts w:ascii="Kalpurush" w:cs="Kalpurush" w:eastAsia="Kalpurush" w:hAnsi="Kalpurush"/>
          <w:sz w:val="20"/>
          <w:szCs w:val="20"/>
        </w:rPr>
        <w:t xml:space="preserve"> ট্রায়াল কোর্ট AC Land ভলিউমকে (প্রদর্শনী গ-১) DC Record Room-এর কপির উপর প্রাধান্য দিয়াছেন এবং সিদ্ধান্ত নিয়াছেন যে ১৯৬৯ সালে খতিয়ানটি সংশোধিত হইয়া ১টি দাগে (১২৫৯) পরিণত হইয়াছে।</w:t>
      </w:r>
    </w:p>
    <w:p>
      <w:pPr>
        <w:pStyle w:val="ListParagraph"/>
        <w:numPr>
          <w:ilvl w:val="0"/>
          <w:numId w:val="1"/>
        </w:numPr>
      </w:pPr>
      <w:r>
        <w:rPr>
          <w:rFonts w:ascii="Kalpurush" w:cs="Kalpurush" w:eastAsia="Kalpurush" w:hAnsi="Kalpurush"/>
          <w:b/>
          <w:bCs/>
          <w:sz w:val="20"/>
          <w:szCs w:val="20"/>
        </w:rPr>
        <w:t xml:space="preserve">আমাদের খণ্ডন:</w:t>
      </w:r>
      <w:r>
        <w:rPr>
          <w:rFonts w:ascii="Kalpurush" w:cs="Kalpurush" w:eastAsia="Kalpurush" w:hAnsi="Kalpurush"/>
          <w:sz w:val="20"/>
          <w:szCs w:val="20"/>
        </w:rPr>
        <w:t xml:space="preserve"> AC Land ভলিউমটি একটি কার্যনির্বাহী কপি মাত্র, যেখানে সোনা ভানুর নাম ভিন্ন কালিতে লেখা বলিয়া সরকারি সাক্ষী নিজেই স্বীকার করিয়াছেন। সর্বোপরি, বিবাদীদের নিজেদের দাখিলকৃত ১৯৭৫ সালের ৩৫৯৬ নং দলিলেই (Exhibit Kha-1) এস.এ ২৩৮ খতিয়ানের ৬টি দাগ স্পষ্টভাবে উল্লেখিত আছে। ১৯৬৯ সালে সংশোধন হইয়া থাকিলে ১৯৭৫ সালের দলিলে ৬ দাগ থাকে কীভাবে?</w:t>
      </w:r>
    </w:p>
    <w:p>
      <w:pPr>
        <w:pStyle w:val="ListParagraph"/>
        <w:numPr>
          <w:ilvl w:val="0"/>
          <w:numId w:val="1"/>
        </w:numPr>
      </w:pPr>
      <w:r>
        <w:rPr>
          <w:rFonts w:ascii="Kalpurush" w:cs="Kalpurush" w:eastAsia="Kalpurush" w:hAnsi="Kalpurush"/>
          <w:b/>
          <w:bCs/>
          <w:sz w:val="20"/>
          <w:szCs w:val="20"/>
        </w:rPr>
        <w:t xml:space="preserve">নজির প্রয়োগ:</w:t>
      </w:r>
      <w:r>
        <w:rPr>
          <w:rFonts w:ascii="Kalpurush" w:cs="Kalpurush" w:eastAsia="Kalpurush" w:hAnsi="Kalpurush"/>
          <w:sz w:val="20"/>
          <w:szCs w:val="20"/>
        </w:rPr>
        <w:t xml:space="preserve"> </w:t>
      </w:r>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(Procured or mutated SA record entries cannot override established title, and a revenue officer's entry does not determine ownership.)</w:t>
      </w:r>
    </w:p>
    <w:p>
      <w:r>
        <w:rPr>
          <w:rFonts w:ascii="Kalpurush" w:cs="Kalpurush" w:eastAsia="Kalpurush" w:hAnsi="Kalpurush"/>
        </w:rPr>
        <w:t xml:space="preserve"/>
      </w:r>
    </w:p>
    <w:p>
      <w:r>
        <w:rPr>
          <w:rFonts w:ascii="Kalpurush" w:cs="Kalpurush" w:eastAsia="Kalpurush" w:hAnsi="Kalpurush"/>
          <w:b/>
          <w:bCs/>
          <w:sz w:val="20"/>
          <w:szCs w:val="20"/>
        </w:rPr>
        <w:t xml:space="preserve">সিদ্ধান্ত:</w:t>
      </w:r>
      <w:r>
        <w:rPr>
          <w:rFonts w:ascii="Kalpurush" w:cs="Kalpurush" w:eastAsia="Kalpurush" w:hAnsi="Kalpurush"/>
          <w:sz w:val="20"/>
          <w:szCs w:val="20"/>
        </w:rPr>
        <w:t xml:space="preserve"> ট্রায়াল কোর্ট সম্পূর্ণ বেআইনিভাবে একটি State Record বাতিল করিয়াছেন। অতএব উক্ত রায় আইনত বাতিলযোগ্য।</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2026-06-26T16:41:44.535Z</dcterms:created>
  <dcterms:modified xsi:type="dcterms:W3CDTF">2026-06-26T16:41:44.535Z</dcterms:modified>
</cp:coreProperties>
</file>

<file path=docProps/custom.xml><?xml version="1.0" encoding="utf-8"?>
<Properties xmlns="http://schemas.openxmlformats.org/officeDocument/2006/custom-properties" xmlns:vt="http://schemas.openxmlformats.org/officeDocument/2006/docPropsVTypes"/>
</file>