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rPr>
        <w:t xml:space="preserve"/>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আপীল্যান্টপক্ষের অতিরিক্ত/পরিপূরক লিখিত যুক্তিতর্ক</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আদালতের সদয় অবগতির জন্য নিবেদন এই যে, আপীল মেমোরিয়ালে উত্থাপিত grounds-সমূহের ধারাবাহিকতায় নিম্নোক্ত বিষয়সমূহ বিশেষভাবে বিবেচনার দাবি রাখে। বিজ্ঞ ট্রায়াল কোর্টের রায়ে বিবাদীপক্ষের একটি অপ্রমাণিত root title এবং একটি অনুপস্থিত Misc Case-এর উপর নির্ভর করে বিদ্যমান SA রেকর্ডকে প্রশ্নবিদ্ধ করা হইয়াছে। উক্ত সিদ্ধান্ত সাক্ষ্য, রেকর্ডের ধারাবাহিকতা এবং প্রযোজ্য আইনি নীতির সঙ্গে সামঞ্জস্যপূর্ণ নহে। নিম্নে বিস্তারিত খণ্ডন উপস্থাপন করা হইল।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 মূল রায়ত (Root Tenant) হিসাবে আব্দুল করিমের পরিচয় এবং দালিলিক ভিত্তির সম্পূর্ণ অভাব</w:t>
      </w:r>
    </w:p>
    <w:p>
      <w:r>
        <w:rPr>
          <w:rFonts w:ascii="Kalpurush" w:cs="Kalpurush" w:eastAsia="Kalpurush" w:hAnsi="Kalpurush"/>
        </w:rPr>
        <w:t xml:space="preserve"/>
      </w:r>
    </w:p>
    <w:p>
      <w:r>
        <w:rPr>
          <w:rFonts w:ascii="Kalpurush" w:cs="Kalpurush" w:eastAsia="Kalpurush" w:hAnsi="Kalpurush"/>
          <w:b/>
          <w:bCs/>
          <w:sz w:val="20"/>
          <w:szCs w:val="20"/>
        </w:rPr>
        <w:t xml:space="preserve">ক. বিজ্ঞ ট্রায়াল কোর্টের সিদ্ধান্ত:</w:t>
      </w:r>
      <w:r>
        <w:rPr>
          <w:rFonts w:ascii="Kalpurush" w:cs="Kalpurush" w:eastAsia="Kalpurush" w:hAnsi="Kalpurush"/>
          <w:sz w:val="20"/>
          <w:szCs w:val="20"/>
        </w:rPr>
        <w:t xml:space="preserve"> বিজ্ঞ আদালত অনুমান করিয়াছেন যে, আব্দুল করিম ১৯৩৪ সালের কথিত পত্তনের মাধ্যমে নালিশী জমির রায়ত ছিলেন এবং পরবর্তীতে উত্তরাধিকারসূত্রে সোনাভানু উক্ত স্বত্ব লাভ করেন।</w:t>
      </w:r>
    </w:p>
    <w:p>
      <w:r>
        <w:rPr>
          <w:rFonts w:ascii="Kalpurush" w:cs="Kalpurush" w:eastAsia="Kalpurush" w:hAnsi="Kalpurush"/>
        </w:rPr>
        <w:t xml:space="preserve"/>
      </w:r>
    </w:p>
    <w:p>
      <w:r>
        <w:rPr>
          <w:rFonts w:ascii="Kalpurush" w:cs="Kalpurush" w:eastAsia="Kalpurush" w:hAnsi="Kalpurush"/>
          <w:b/>
          <w:bCs/>
          <w:sz w:val="20"/>
          <w:szCs w:val="20"/>
        </w:rPr>
        <w:t xml:space="preserve">খ. কেন এই সিদ্ধান্ত অসম্ভব:</w:t>
      </w:r>
      <w:r>
        <w:rPr>
          <w:rFonts w:ascii="Kalpurush" w:cs="Kalpurush" w:eastAsia="Kalpurush" w:hAnsi="Kalpurush"/>
          <w:sz w:val="20"/>
          <w:szCs w:val="20"/>
        </w:rPr>
        <w:t xml:space="preserve"> বিবাদীপক্ষের title chain-এর প্রথম link (আব্দুল করিম → রায়ত) দালিলিক প্রমাণে প্রতিষ্ঠিত নহে। আব্দুল করিম কীভাবে রায়ত হইলেন, তাহার কোনো foundational documentary evidence (যেমন: পাট্টা, কবুলিয়ত, বা অনুমোদিত settlement document) আদালতে উপস্থাপন করা হয় নাই। যে ব্যক্তির নিজের রায়তি স্বত্বই প্রাথমিক দলিল দ্বারা প্রমাণিত নহে, তাহার নিকট হইতে উত্তরাধিকারসূত্রে পরবর্তী ব্যক্তির স্বত্ব কীভাবে সৃষ্টি হইল—এই প্রশ্নের উত্তর বিবাদীপক্ষ দিতে ব্যর্থ।</w:t>
      </w:r>
    </w:p>
    <w:p>
      <w:r>
        <w:rPr>
          <w:rFonts w:ascii="Kalpurush" w:cs="Kalpurush" w:eastAsia="Kalpurush" w:hAnsi="Kalpurush"/>
        </w:rPr>
        <w:t xml:space="preserve"/>
      </w:r>
    </w:p>
    <w:p>
      <w:r>
        <w:rPr>
          <w:rFonts w:ascii="Kalpurush" w:cs="Kalpurush" w:eastAsia="Kalpurush" w:hAnsi="Kalpurush"/>
          <w:b/>
          <w:bCs/>
          <w:sz w:val="20"/>
          <w:szCs w:val="20"/>
        </w:rPr>
        <w:t xml:space="preserve">গ. বিরোধী সাক্ষ্য বা দালিলিক প্রমাণ:</w:t>
      </w:r>
      <w:r>
        <w:rPr>
          <w:rFonts w:ascii="Kalpurush" w:cs="Kalpurush" w:eastAsia="Kalpurush" w:hAnsi="Kalpurush"/>
          <w:sz w:val="20"/>
          <w:szCs w:val="20"/>
        </w:rPr>
        <w:t xml:space="preserve"> নালিশী সম্পত্তির পূর্ববর্তী CS খতিয়ান নং ২-এ আব্দুল করিম ব্যক্তিগত রায়ত হিসাবে রেকর্ডভুক্ত নহেন; বরং জমিটি নবাব এস্টেটের খাস সম্পত্তি হিসাবে প্রতিফলিত। রাষ্ট্র পরবর্তীতে সরেজমিনে তদন্তের মাধ্যমে আব্দুল আলী-র নাম SA ২৩৮ নং খতিয়ানে রায়ত হিসাবে রেকর্ডভুক্ত করিয়াছে। এই রাষ্ট্রীয় রেকর্ডই মামলার একটি প্রত্যক্ষ documentary starting point।</w:t>
      </w:r>
    </w:p>
    <w:p>
      <w:r>
        <w:rPr>
          <w:rFonts w:ascii="Kalpurush" w:cs="Kalpurush" w:eastAsia="Kalpurush" w:hAnsi="Kalpurush"/>
        </w:rPr>
        <w:t xml:space="preserve"/>
      </w:r>
    </w:p>
    <w:p>
      <w:r>
        <w:rPr>
          <w:rFonts w:ascii="Kalpurush" w:cs="Kalpurush" w:eastAsia="Kalpurush" w:hAnsi="Kalpurush"/>
          <w:b/>
          <w:bCs/>
          <w:sz w:val="20"/>
          <w:szCs w:val="20"/>
        </w:rPr>
        <w:t xml:space="preserve">ঘ. প্রযোজ্য আইনি নজির (Authority):</w:t>
      </w:r>
    </w:p>
    <w:p>
      <w:pPr>
        <w:ind w:left="720"/>
      </w:pPr>
      <w:r>
        <w:rPr>
          <w:rFonts w:ascii="Kalpurush" w:cs="Kalpurush" w:eastAsia="Kalpurush" w:hAnsi="Kalpurush"/>
          <w:b/>
          <w:bCs/>
          <w:i/>
          <w:iCs/>
          <w:sz w:val="20"/>
          <w:szCs w:val="20"/>
        </w:rPr>
        <w:t xml:space="preserve">Harun-al-Rashid Mollah vs. Bangladesh, 12 BLC (AD) 79:</w:t>
      </w:r>
      <w:r>
        <w:rPr>
          <w:rFonts w:ascii="Kalpurush" w:cs="Kalpurush" w:eastAsia="Kalpurush" w:hAnsi="Kalpurush"/>
          <w:i/>
          <w:iCs/>
          <w:sz w:val="20"/>
          <w:szCs w:val="20"/>
        </w:rPr>
        <w:t xml:space="preserve"> যথাযথ কর্তৃপক্ষের অনুমোদন বা বৈধ ভিত্তি ছাড়া নবাব এস্টেটের কথিত পত্তন বা স্বত্ব দাবি আইনত অকার্যকর (void ab initio)।</w:t>
      </w:r>
    </w:p>
    <w:p>
      <w:pPr>
        <w:ind w:left="720"/>
      </w:pPr>
      <w:r>
        <w:rPr>
          <w:rFonts w:ascii="Kalpurush" w:cs="Kalpurush" w:eastAsia="Kalpurush" w:hAnsi="Kalpurush"/>
          <w:b/>
          <w:bCs/>
          <w:i/>
          <w:iCs/>
          <w:sz w:val="20"/>
          <w:szCs w:val="20"/>
        </w:rPr>
        <w:t xml:space="preserve">Md. Shajahan Bhuiyan vs. Md. Nurul Alam, 4 SCOB [2015] HCD 52:</w:t>
      </w:r>
      <w:r>
        <w:rPr>
          <w:rFonts w:ascii="Kalpurush" w:cs="Kalpurush" w:eastAsia="Kalpurush" w:hAnsi="Kalpurush"/>
          <w:i/>
          <w:iCs/>
          <w:sz w:val="20"/>
          <w:szCs w:val="20"/>
        </w:rPr>
        <w:t xml:space="preserve"> *"Irrespective of whatever title or right was acquired by virtue of the unregistered patta, it had extinguished as a result of State Acquisition."*</w:t>
      </w:r>
    </w:p>
    <w:p>
      <w:pPr>
        <w:ind w:left="720"/>
      </w:pPr>
      <w:r>
        <w:rPr>
          <w:rFonts w:ascii="Kalpurush" w:cs="Kalpurush" w:eastAsia="Kalpurush" w:hAnsi="Kalpurush"/>
          <w:b/>
          <w:bCs/>
          <w:i/>
          <w:iCs/>
          <w:sz w:val="20"/>
          <w:szCs w:val="20"/>
        </w:rPr>
        <w:t xml:space="preserve">Shafiullah vs. Sultan Ahmad Mir, 6 BLD (AD) 70:</w:t>
      </w:r>
      <w:r>
        <w:rPr>
          <w:rFonts w:ascii="Kalpurush" w:cs="Kalpurush" w:eastAsia="Kalpurush" w:hAnsi="Kalpurush"/>
          <w:i/>
          <w:iCs/>
          <w:sz w:val="20"/>
          <w:szCs w:val="20"/>
        </w:rPr>
        <w:t xml:space="preserve"> *"Tenancy status is determined by zamindari pattan or state recognition, not by personal law of inheritance."*</w:t>
      </w:r>
    </w:p>
    <w:p>
      <w:pPr>
        <w:ind w:left="720"/>
      </w:pPr>
      <w:r>
        <w:rPr>
          <w:rFonts w:ascii="Kalpurush" w:cs="Kalpurush" w:eastAsia="Kalpurush" w:hAnsi="Kalpurush"/>
          <w:b/>
          <w:bCs/>
          <w:i/>
          <w:iCs/>
          <w:sz w:val="20"/>
          <w:szCs w:val="20"/>
        </w:rPr>
        <w:t xml:space="preserve">Noor Mohammad Khan vs. Government, 42 DLR (HD) 434:</w:t>
      </w:r>
      <w:r>
        <w:rPr>
          <w:rFonts w:ascii="Kalpurush" w:cs="Kalpurush" w:eastAsia="Kalpurush" w:hAnsi="Kalpurush"/>
          <w:i/>
          <w:iCs/>
          <w:sz w:val="20"/>
          <w:szCs w:val="20"/>
        </w:rPr>
        <w:t xml:space="preserve"> সালামি রশিদ বা আমলনামা Chief Manager-এর অনুমোদন ছাড়া প্রজা স্বত্ব সৃষ্টি করে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২. SA ২৩৮ নং খতিয়ান: বিদ্যমান রাষ্ট্রীয় রেকর্ড খণ্ডনের দায় (Burden of Proof) এবং ১৯৫৭ সালের দলিলের সমর্থন</w:t>
      </w:r>
    </w:p>
    <w:p>
      <w:r>
        <w:rPr>
          <w:rFonts w:ascii="Kalpurush" w:cs="Kalpurush" w:eastAsia="Kalpurush" w:hAnsi="Kalpurush"/>
        </w:rPr>
        <w:t xml:space="preserve"/>
      </w:r>
    </w:p>
    <w:p>
      <w:r>
        <w:rPr>
          <w:rFonts w:ascii="Kalpurush" w:cs="Kalpurush" w:eastAsia="Kalpurush" w:hAnsi="Kalpurush"/>
          <w:b/>
          <w:bCs/>
          <w:sz w:val="20"/>
          <w:szCs w:val="20"/>
        </w:rPr>
        <w:t xml:space="preserve">ক. বিজ্ঞ ট্রায়াল কোর্টের সিদ্ধান্ত:</w:t>
      </w:r>
      <w:r>
        <w:rPr>
          <w:rFonts w:ascii="Kalpurush" w:cs="Kalpurush" w:eastAsia="Kalpurush" w:hAnsi="Kalpurush"/>
          <w:sz w:val="20"/>
          <w:szCs w:val="20"/>
        </w:rPr>
        <w:t xml:space="preserve"> বিজ্ঞ আদালত SA ২৩৮ নং খতিয়ানকে ভুল ধরিয়া লইয়া আপীল্যান্টদের উপর উক্ত রেকর্ডের correctness পুনরায় প্রমাণের ভার আরোপ করিয়াছেন।</w:t>
      </w:r>
    </w:p>
    <w:p>
      <w:r>
        <w:rPr>
          <w:rFonts w:ascii="Kalpurush" w:cs="Kalpurush" w:eastAsia="Kalpurush" w:hAnsi="Kalpurush"/>
        </w:rPr>
        <w:t xml:space="preserve"/>
      </w:r>
    </w:p>
    <w:p>
      <w:r>
        <w:rPr>
          <w:rFonts w:ascii="Kalpurush" w:cs="Kalpurush" w:eastAsia="Kalpurush" w:hAnsi="Kalpurush"/>
          <w:b/>
          <w:bCs/>
          <w:sz w:val="20"/>
          <w:szCs w:val="20"/>
        </w:rPr>
        <w:t xml:space="preserve">খ. কেন এই সিদ্ধান্ত অসম্ভব:</w:t>
      </w:r>
      <w:r>
        <w:rPr>
          <w:rFonts w:ascii="Kalpurush" w:cs="Kalpurush" w:eastAsia="Kalpurush" w:hAnsi="Kalpurush"/>
          <w:sz w:val="20"/>
          <w:szCs w:val="20"/>
        </w:rPr>
        <w:t xml:space="preserve"> চূড়ান্তভাবে প্রকাশিত Record of Rights-এর ক্ষেত্রে আইন (Section 144A, SAT Act) একটি presumptive value স্বীকার করে। Evidence Act-এর Section 103-এর মূল নীতি অনুযায়ী, যে পক্ষ (বিবাদীপক্ষ) দাবি করে যে SA ২৩৮-এ আব্দুল আলীর নাম সঠিক নহে এবং পরবর্তীতে সোনাভানুর স্বত্ব সৃষ্টি হইয়াছে, সেই দাবির factual ও legal foundation প্রতিষ্ঠা করা তাহারই দায়িত্ব। বিজ্ঞ আদালত এই burden উল্টাইয়া দিয়াছেন।</w:t>
      </w:r>
    </w:p>
    <w:p>
      <w:r>
        <w:rPr>
          <w:rFonts w:ascii="Kalpurush" w:cs="Kalpurush" w:eastAsia="Kalpurush" w:hAnsi="Kalpurush"/>
        </w:rPr>
        <w:t xml:space="preserve"/>
      </w:r>
    </w:p>
    <w:p>
      <w:r>
        <w:rPr>
          <w:rFonts w:ascii="Kalpurush" w:cs="Kalpurush" w:eastAsia="Kalpurush" w:hAnsi="Kalpurush"/>
          <w:b/>
          <w:bCs/>
          <w:sz w:val="20"/>
          <w:szCs w:val="20"/>
        </w:rPr>
        <w:t xml:space="preserve">গ. বিরোধী সাক্ষ্য বা দালিলিক প্রমাণ:</w:t>
      </w:r>
      <w:r>
        <w:rPr>
          <w:rFonts w:ascii="Kalpurush" w:cs="Kalpurush" w:eastAsia="Kalpurush" w:hAnsi="Kalpurush"/>
          <w:sz w:val="20"/>
          <w:szCs w:val="20"/>
        </w:rPr>
        <w:t xml:space="preserve"> ১৯৫৭ সালের ২৩৯৮ নং নিবন্ধিত দলিলটি SA রেকর্ডের পরবর্তী কোনো title সৃষ্টি নহে, বরং এটি SA ২৩৮ নং খতিয়ানভুক্ত সম্পত্তির সঙ্গে সম্পর্কিত এবং আব্দুল আলীর নামে বিদ্যমান দাবির সঙ্গে সামঞ্জস্যপূর্ণ একটি স্বতন্ত্র documentary corroboration। বিবাদীপক্ষের কাছে ১৯৩৪ সালের পত্তনের দলিল বা ১৯৬৯ সালের সংশোধনের primary record নাই; অথচ আপীল্যান্টদের SA ২৩৮-এর সমর্থনে ১৯৫৭ সালের registered deed বিদ্যমান।</w:t>
      </w:r>
    </w:p>
    <w:p>
      <w:r>
        <w:rPr>
          <w:rFonts w:ascii="Kalpurush" w:cs="Kalpurush" w:eastAsia="Kalpurush" w:hAnsi="Kalpurush"/>
        </w:rPr>
        <w:t xml:space="preserve"/>
      </w:r>
    </w:p>
    <w:p>
      <w:r>
        <w:rPr>
          <w:rFonts w:ascii="Kalpurush" w:cs="Kalpurush" w:eastAsia="Kalpurush" w:hAnsi="Kalpurush"/>
          <w:b/>
          <w:bCs/>
          <w:sz w:val="20"/>
          <w:szCs w:val="20"/>
        </w:rPr>
        <w:t xml:space="preserve">ঘ. প্রযোজ্য আইনি নজির (Authority):</w:t>
      </w:r>
    </w:p>
    <w:p>
      <w:pPr>
        <w:ind w:left="720"/>
      </w:pPr>
      <w:r>
        <w:rPr>
          <w:rFonts w:ascii="Kalpurush" w:cs="Kalpurush" w:eastAsia="Kalpurush" w:hAnsi="Kalpurush"/>
          <w:b/>
          <w:bCs/>
          <w:i/>
          <w:iCs/>
          <w:sz w:val="20"/>
          <w:szCs w:val="20"/>
        </w:rPr>
        <w:t xml:space="preserve">Dayal Chandra Mondal vs. Asst. Custodian, 50 DLR (HD) 186:</w:t>
      </w:r>
      <w:r>
        <w:rPr>
          <w:rFonts w:ascii="Kalpurush" w:cs="Kalpurush" w:eastAsia="Kalpurush" w:hAnsi="Kalpurush"/>
          <w:i/>
          <w:iCs/>
          <w:sz w:val="20"/>
          <w:szCs w:val="20"/>
        </w:rPr>
        <w:t xml:space="preserve"> *"A record of rights finally published... has a presumption of correctness and that presumption continues till it is rebutted by reliable evidence."*</w:t>
      </w:r>
    </w:p>
    <w:p>
      <w:pPr>
        <w:ind w:left="720"/>
      </w:pPr>
      <w:r>
        <w:rPr>
          <w:rFonts w:ascii="Kalpurush" w:cs="Kalpurush" w:eastAsia="Kalpurush" w:hAnsi="Kalpurush"/>
          <w:b/>
          <w:bCs/>
          <w:i/>
          <w:iCs/>
          <w:sz w:val="20"/>
          <w:szCs w:val="20"/>
        </w:rPr>
        <w:t xml:space="preserve">Nuruddin Ahmed vs. Md. Jaman, 45 DLR (AD) 124:</w:t>
      </w:r>
      <w:r>
        <w:rPr>
          <w:rFonts w:ascii="Kalpurush" w:cs="Kalpurush" w:eastAsia="Kalpurush" w:hAnsi="Kalpurush"/>
          <w:i/>
          <w:iCs/>
          <w:sz w:val="20"/>
          <w:szCs w:val="20"/>
        </w:rPr>
        <w:t xml:space="preserve"> *"A trial court sometimes confuses 'plaintiff must prove' with 'plaintiff must disprove every counter-assertion'. This is erroneous."*</w:t>
      </w:r>
    </w:p>
    <w:p>
      <w:pPr>
        <w:ind w:left="720"/>
      </w:pPr>
      <w:r>
        <w:rPr>
          <w:rFonts w:ascii="Kalpurush" w:cs="Kalpurush" w:eastAsia="Kalpurush" w:hAnsi="Kalpurush"/>
          <w:b/>
          <w:bCs/>
          <w:i/>
          <w:iCs/>
          <w:sz w:val="20"/>
          <w:szCs w:val="20"/>
        </w:rPr>
        <w:t xml:space="preserve">Md. Azizul Hoque vs. Md. Akbar Ali, 10 BLT (AD) 105:</w:t>
      </w:r>
      <w:r>
        <w:rPr>
          <w:rFonts w:ascii="Kalpurush" w:cs="Kalpurush" w:eastAsia="Kalpurush" w:hAnsi="Kalpurush"/>
          <w:i/>
          <w:iCs/>
          <w:sz w:val="20"/>
          <w:szCs w:val="20"/>
        </w:rPr>
        <w:t xml:space="preserve"> রেকর্ড ভুল প্রমাণের সম্পূর্ণ দায়িত্ব চ্যালেঞ্জকারী পক্ষের।</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৩. ১৯৬৯ সালের কথিত Misc Case No. 1181 এবং AC Land Volume Entry-র অসারতা</w:t>
      </w:r>
    </w:p>
    <w:p>
      <w:r>
        <w:rPr>
          <w:rFonts w:ascii="Kalpurush" w:cs="Kalpurush" w:eastAsia="Kalpurush" w:hAnsi="Kalpurush"/>
        </w:rPr>
        <w:t xml:space="preserve"/>
      </w:r>
    </w:p>
    <w:p>
      <w:r>
        <w:rPr>
          <w:rFonts w:ascii="Kalpurush" w:cs="Kalpurush" w:eastAsia="Kalpurush" w:hAnsi="Kalpurush"/>
          <w:b/>
          <w:bCs/>
          <w:sz w:val="20"/>
          <w:szCs w:val="20"/>
        </w:rPr>
        <w:t xml:space="preserve">ক. বিজ্ঞ ট্রায়াল কোর্টের সিদ্ধান্ত:</w:t>
      </w:r>
      <w:r>
        <w:rPr>
          <w:rFonts w:ascii="Kalpurush" w:cs="Kalpurush" w:eastAsia="Kalpurush" w:hAnsi="Kalpurush"/>
          <w:sz w:val="20"/>
          <w:szCs w:val="20"/>
        </w:rPr>
        <w:t xml:space="preserve"> বিজ্ঞ আদালত কথিত Misc Case No. 1181/1969-এর ভিত্তিতে AC Land volume-এর একটি entry-কে গুরুত্ব দিয়া স্বত্ব পরিবর্তনের সিদ্ধান্ত দিয়াছেন।</w:t>
      </w:r>
    </w:p>
    <w:p>
      <w:r>
        <w:rPr>
          <w:rFonts w:ascii="Kalpurush" w:cs="Kalpurush" w:eastAsia="Kalpurush" w:hAnsi="Kalpurush"/>
        </w:rPr>
        <w:t xml:space="preserve"/>
      </w:r>
    </w:p>
    <w:p>
      <w:r>
        <w:rPr>
          <w:rFonts w:ascii="Kalpurush" w:cs="Kalpurush" w:eastAsia="Kalpurush" w:hAnsi="Kalpurush"/>
          <w:b/>
          <w:bCs/>
          <w:sz w:val="20"/>
          <w:szCs w:val="20"/>
        </w:rPr>
        <w:t xml:space="preserve">খ. কেন এই সিদ্ধান্ত অসম্ভব:</w:t>
      </w:r>
      <w:r>
        <w:rPr>
          <w:rFonts w:ascii="Kalpurush" w:cs="Kalpurush" w:eastAsia="Kalpurush" w:hAnsi="Kalpurush"/>
          <w:sz w:val="20"/>
          <w:szCs w:val="20"/>
        </w:rPr>
        <w:t xml:space="preserve"> বিবাদীপক্ষ কথিত Misc Case-এর application, order sheet, judgment, certified copy, বা final order—কোনোটিই দাখিল করিতে পারে নাই। একটি parent proceeding-এর legal foundation (root order) অনুপস্থিত থাকিলে তাহার consequential entry (AC Land volume) নিজে হইতে substantive title-এর ভিত্তি হইতে পারে না। তদুপরি, একটি Misc Case (summary proceeding) দ্বারা substantive civil title adjudicate হইতে পারে না।</w:t>
      </w:r>
    </w:p>
    <w:p>
      <w:r>
        <w:rPr>
          <w:rFonts w:ascii="Kalpurush" w:cs="Kalpurush" w:eastAsia="Kalpurush" w:hAnsi="Kalpurush"/>
        </w:rPr>
        <w:t xml:space="preserve"/>
      </w:r>
    </w:p>
    <w:p>
      <w:r>
        <w:rPr>
          <w:rFonts w:ascii="Kalpurush" w:cs="Kalpurush" w:eastAsia="Kalpurush" w:hAnsi="Kalpurush"/>
          <w:b/>
          <w:bCs/>
          <w:sz w:val="20"/>
          <w:szCs w:val="20"/>
        </w:rPr>
        <w:t xml:space="preserve">গ. বিরোধী সাক্ষ্য বা দালিলিক প্রমাণ:</w:t>
      </w:r>
      <w:r>
        <w:rPr>
          <w:rFonts w:ascii="Kalpurush" w:cs="Kalpurush" w:eastAsia="Kalpurush" w:hAnsi="Kalpurush"/>
          <w:sz w:val="20"/>
          <w:szCs w:val="20"/>
        </w:rPr>
        <w:t xml:space="preserve"> জেলা রেকর্ড রুমে সংরক্ষিত মূল SA ২৩৮ নং খতিয়ান আজও আব্দুল আলীর নামেই বিদ্যমান। District Record Room-এর statutory record এবং AC Land volume (working copy) সমপর্যায়ের নহে। তাছাড়া, বিবাদীপক্ষের সাক্ষী DW-4 আদালতে মূল রায়তের নাম ভুল বলিয়াছেন (আব্দুল আলীম) এবং volume-এর entry কেন ভিন্ন কালিতে লেখা তাহার কোনো ব্যাখ্যা দিতে পারেন নাই। এই unexplained volume entry-কে certified statutory record-এর উপরে স্থান দেওয়া প্রশ্নবিদ্ধ।</w:t>
      </w:r>
    </w:p>
    <w:p>
      <w:r>
        <w:rPr>
          <w:rFonts w:ascii="Kalpurush" w:cs="Kalpurush" w:eastAsia="Kalpurush" w:hAnsi="Kalpurush"/>
        </w:rPr>
        <w:t xml:space="preserve"/>
      </w:r>
    </w:p>
    <w:p>
      <w:r>
        <w:rPr>
          <w:rFonts w:ascii="Kalpurush" w:cs="Kalpurush" w:eastAsia="Kalpurush" w:hAnsi="Kalpurush"/>
          <w:b/>
          <w:bCs/>
          <w:sz w:val="20"/>
          <w:szCs w:val="20"/>
        </w:rPr>
        <w:t xml:space="preserve">ঘ. প্রযোজ্য আইনি নজির (Authority):</w:t>
      </w:r>
    </w:p>
    <w:p>
      <w:pPr>
        <w:ind w:left="720"/>
      </w:pPr>
      <w:r>
        <w:rPr>
          <w:rFonts w:ascii="Kalpurush" w:cs="Kalpurush" w:eastAsia="Kalpurush" w:hAnsi="Kalpurush"/>
          <w:b/>
          <w:bCs/>
          <w:i/>
          <w:iCs/>
          <w:sz w:val="20"/>
          <w:szCs w:val="20"/>
        </w:rPr>
        <w:t xml:space="preserve">Malay Miah vs. Maharam Ali, 27 BLD (HD) 544:</w:t>
      </w:r>
      <w:r>
        <w:rPr>
          <w:rFonts w:ascii="Kalpurush" w:cs="Kalpurush" w:eastAsia="Kalpurush" w:hAnsi="Kalpurush"/>
          <w:i/>
          <w:iCs/>
          <w:sz w:val="20"/>
          <w:szCs w:val="20"/>
        </w:rPr>
        <w:t xml:space="preserve"> Misc Case একটি summary proceeding এবং ইহা substantive civil title adjudicate করিতে পারে না।</w:t>
      </w:r>
    </w:p>
    <w:p>
      <w:pPr>
        <w:ind w:left="720"/>
      </w:pPr>
      <w:r>
        <w:rPr>
          <w:rFonts w:ascii="Kalpurush" w:cs="Kalpurush" w:eastAsia="Kalpurush" w:hAnsi="Kalpurush"/>
          <w:b/>
          <w:bCs/>
          <w:i/>
          <w:iCs/>
          <w:sz w:val="20"/>
          <w:szCs w:val="20"/>
        </w:rPr>
        <w:t xml:space="preserve">Shahera Khatun vs. State, 53 DLR 19:</w:t>
      </w:r>
      <w:r>
        <w:rPr>
          <w:rFonts w:ascii="Kalpurush" w:cs="Kalpurush" w:eastAsia="Kalpurush" w:hAnsi="Kalpurush"/>
          <w:i/>
          <w:iCs/>
          <w:sz w:val="20"/>
          <w:szCs w:val="20"/>
        </w:rPr>
        <w:t xml:space="preserve"> Volume note বা mutation-এর কোনো presumptive value নাই।</w:t>
      </w:r>
    </w:p>
    <w:p>
      <w:pPr>
        <w:ind w:left="720"/>
      </w:pPr>
      <w:r>
        <w:rPr>
          <w:rFonts w:ascii="Kalpurush" w:cs="Kalpurush" w:eastAsia="Kalpurush" w:hAnsi="Kalpurush"/>
          <w:b/>
          <w:bCs/>
          <w:i/>
          <w:iCs/>
          <w:sz w:val="20"/>
          <w:szCs w:val="20"/>
        </w:rPr>
        <w:t xml:space="preserve">Fazlur Rahman vs. Bangladesh, 1 BLT (HD) 18:</w:t>
      </w:r>
      <w:r>
        <w:rPr>
          <w:rFonts w:ascii="Kalpurush" w:cs="Kalpurush" w:eastAsia="Kalpurush" w:hAnsi="Kalpurush"/>
          <w:i/>
          <w:iCs/>
          <w:sz w:val="20"/>
          <w:szCs w:val="20"/>
        </w:rPr>
        <w:t xml:space="preserve"> Parent judicial order sheet ছাড়া ভিন্ন কালিতে/হাতে লেখা ভলিউম এন্ট্রি প্রতারণামূলক ও অকার্যকর।</w:t>
      </w:r>
    </w:p>
    <w:p>
      <w:pPr>
        <w:ind w:left="720"/>
      </w:pPr>
      <w:r>
        <w:rPr>
          <w:rFonts w:ascii="Kalpurush" w:cs="Kalpurush" w:eastAsia="Kalpurush" w:hAnsi="Kalpurush"/>
          <w:b/>
          <w:bCs/>
          <w:i/>
          <w:iCs/>
          <w:sz w:val="20"/>
          <w:szCs w:val="20"/>
        </w:rPr>
        <w:t xml:space="preserve">Mainuddin Ahammed vs. Bangladesh, 7 SCOB [2016] HCD 135:</w:t>
      </w:r>
      <w:r>
        <w:rPr>
          <w:rFonts w:ascii="Kalpurush" w:cs="Kalpurush" w:eastAsia="Kalpurush" w:hAnsi="Kalpurush"/>
          <w:i/>
          <w:iCs/>
          <w:sz w:val="20"/>
          <w:szCs w:val="20"/>
        </w:rPr>
        <w:t xml:space="preserve"> Notice ও hearing ছাড়া SA Khatian সংশোধন void।</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৪. ১৯৭৫ সালের দলিলে বিবাদীপক্ষের স্ববিরোধী অবস্থান (Documentary Contradiction)</w:t>
      </w:r>
    </w:p>
    <w:p>
      <w:r>
        <w:rPr>
          <w:rFonts w:ascii="Kalpurush" w:cs="Kalpurush" w:eastAsia="Kalpurush" w:hAnsi="Kalpurush"/>
        </w:rPr>
        <w:t xml:space="preserve"/>
      </w:r>
    </w:p>
    <w:p>
      <w:r>
        <w:rPr>
          <w:rFonts w:ascii="Kalpurush" w:cs="Kalpurush" w:eastAsia="Kalpurush" w:hAnsi="Kalpurush"/>
          <w:b/>
          <w:bCs/>
          <w:sz w:val="20"/>
          <w:szCs w:val="20"/>
        </w:rPr>
        <w:t xml:space="preserve">ক. বিজ্ঞ ট্রায়াল কোর্টের সিদ্ধান্ত:</w:t>
      </w:r>
      <w:r>
        <w:rPr>
          <w:rFonts w:ascii="Kalpurush" w:cs="Kalpurush" w:eastAsia="Kalpurush" w:hAnsi="Kalpurush"/>
          <w:sz w:val="20"/>
          <w:szCs w:val="20"/>
        </w:rPr>
        <w:t xml:space="preserve"> বিজ্ঞ আদালত বিবাদীপক্ষের ১৯৭৫ সালের ৩৫৯৬ নং দলিলটি গ্রহণ করিয়া তাহাদের alleged 1969 correction theory-কে সত্য মানিয়া নিয়াছেন।</w:t>
      </w:r>
    </w:p>
    <w:p>
      <w:r>
        <w:rPr>
          <w:rFonts w:ascii="Kalpurush" w:cs="Kalpurush" w:eastAsia="Kalpurush" w:hAnsi="Kalpurush"/>
        </w:rPr>
        <w:t xml:space="preserve"/>
      </w:r>
    </w:p>
    <w:p>
      <w:r>
        <w:rPr>
          <w:rFonts w:ascii="Kalpurush" w:cs="Kalpurush" w:eastAsia="Kalpurush" w:hAnsi="Kalpurush"/>
          <w:b/>
          <w:bCs/>
          <w:sz w:val="20"/>
          <w:szCs w:val="20"/>
        </w:rPr>
        <w:t xml:space="preserve">খ. কেন এই সিদ্ধান্ত অসম্ভব:</w:t>
      </w:r>
      <w:r>
        <w:rPr>
          <w:rFonts w:ascii="Kalpurush" w:cs="Kalpurush" w:eastAsia="Kalpurush" w:hAnsi="Kalpurush"/>
          <w:sz w:val="20"/>
          <w:szCs w:val="20"/>
        </w:rPr>
        <w:t xml:space="preserve"> বিবাদীপক্ষ একই সঙ্গে দুইটি পরস্পরবিরোধী অবস্থান গ্রহণ করিতেছে। তাহারা দাবি করিতেছে যে ১৯৬৯ সালে SA ২৩৮ সংশোধিত হইয়া এক দাগে (১২৫৯) সীমাবদ্ধ হইয়াছিল। অথচ, তাহারাই ১৯৭৫ সালে SA ২৩৮-এর অধীনে ছয়টি দাগের (১২৫৯, ৭৫, ৩, ৫৪, ১২৫২ এবং ১২২০) বর্ণনা দিয়া ৩৫৯৬ নং registered deed সম্পাদন করিয়াছে। এই দুইটি proposition একইসঙ্গে সত্য হইতে পারে না।</w:t>
      </w:r>
    </w:p>
    <w:p>
      <w:r>
        <w:rPr>
          <w:rFonts w:ascii="Kalpurush" w:cs="Kalpurush" w:eastAsia="Kalpurush" w:hAnsi="Kalpurush"/>
        </w:rPr>
        <w:t xml:space="preserve"/>
      </w:r>
    </w:p>
    <w:p>
      <w:r>
        <w:rPr>
          <w:rFonts w:ascii="Kalpurush" w:cs="Kalpurush" w:eastAsia="Kalpurush" w:hAnsi="Kalpurush"/>
          <w:b/>
          <w:bCs/>
          <w:sz w:val="20"/>
          <w:szCs w:val="20"/>
        </w:rPr>
        <w:t xml:space="preserve">গ. বিরোধী সাক্ষ্য বা দালিলিক প্রমাণ:</w:t>
      </w:r>
      <w:r>
        <w:rPr>
          <w:rFonts w:ascii="Kalpurush" w:cs="Kalpurush" w:eastAsia="Kalpurush" w:hAnsi="Kalpurush"/>
          <w:sz w:val="20"/>
          <w:szCs w:val="20"/>
        </w:rPr>
        <w:t xml:space="preserve"> ১৯৭৫ সালের দলিলে বেলুয়ার স্বামীর নাম (সোবান) এবং আরজিতে প্রদত্ত নামের (আব্দুল কদ্দুস) মধ্যে অসামঞ্জস্য বিদ্যমান। গাণিতিক হিসাবেও বিবাদীপক্ষের দাবি (৩৪৯ + ১৩৭ = ৪৮৬ শতাংশ) দাগের মোট জমির (৪৭৭ শতাংশ) চেয়ে ৯ শতাংশ বেশি। স্বত্বের ব্যাখ্যা লইয়া বিরোধ থাকিতে পারে, কিন্তু গণিত লইয়া নহে। এই দলিল বিবাদীপক্ষের দাবির বিরুদ্ধে সরাসরি Admission।</w:t>
      </w:r>
    </w:p>
    <w:p>
      <w:r>
        <w:rPr>
          <w:rFonts w:ascii="Kalpurush" w:cs="Kalpurush" w:eastAsia="Kalpurush" w:hAnsi="Kalpurush"/>
        </w:rPr>
        <w:t xml:space="preserve"/>
      </w:r>
    </w:p>
    <w:p>
      <w:r>
        <w:rPr>
          <w:rFonts w:ascii="Kalpurush" w:cs="Kalpurush" w:eastAsia="Kalpurush" w:hAnsi="Kalpurush"/>
          <w:b/>
          <w:bCs/>
          <w:sz w:val="20"/>
          <w:szCs w:val="20"/>
        </w:rPr>
        <w:t xml:space="preserve">ঘ. প্রযোজ্য আইনি নজির (Authority):</w:t>
      </w:r>
    </w:p>
    <w:p>
      <w:pPr>
        <w:ind w:left="720"/>
      </w:pPr>
      <w:r>
        <w:rPr>
          <w:rFonts w:ascii="Kalpurush" w:cs="Kalpurush" w:eastAsia="Kalpurush" w:hAnsi="Kalpurush"/>
          <w:b/>
          <w:bCs/>
          <w:i/>
          <w:iCs/>
          <w:sz w:val="20"/>
          <w:szCs w:val="20"/>
        </w:rPr>
        <w:t xml:space="preserve">Evidence Act, 1872, Sections 17, 18 ও 21:</w:t>
      </w:r>
      <w:r>
        <w:rPr>
          <w:rFonts w:ascii="Kalpurush" w:cs="Kalpurush" w:eastAsia="Kalpurush" w:hAnsi="Kalpurush"/>
          <w:i/>
          <w:iCs/>
          <w:sz w:val="20"/>
          <w:szCs w:val="20"/>
        </w:rPr>
        <w:t xml:space="preserve"> নিজের দলিলের বিবরণ Admission হিসাবে গণ্য এবং পক্ষকে আবদ্ধ করে।</w:t>
      </w:r>
    </w:p>
    <w:p>
      <w:pPr>
        <w:ind w:left="720"/>
      </w:pPr>
      <w:r>
        <w:rPr>
          <w:rFonts w:ascii="Kalpurush" w:cs="Kalpurush" w:eastAsia="Kalpurush" w:hAnsi="Kalpurush"/>
          <w:b/>
          <w:bCs/>
          <w:i/>
          <w:iCs/>
          <w:sz w:val="20"/>
          <w:szCs w:val="20"/>
        </w:rPr>
        <w:t xml:space="preserve">Evidence Act, Section 114(গ):</w:t>
      </w:r>
      <w:r>
        <w:rPr>
          <w:rFonts w:ascii="Kalpurush" w:cs="Kalpurush" w:eastAsia="Kalpurush" w:hAnsi="Kalpurush"/>
          <w:i/>
          <w:iCs/>
          <w:sz w:val="20"/>
          <w:szCs w:val="20"/>
        </w:rPr>
        <w:t xml:space="preserve"> যে পক্ষ নিজস্ব দলিলের অসামঞ্জস্য ব্যাখ্যা করিতে ব্যর্থ হয়, আদালত সেই ব্যর্থতাকে তাহাদের বিপক্ষে প্রতিকূল অনুমান (adverse inference) হিসাবে বিবেচনা করিবেন।</w:t>
      </w:r>
    </w:p>
    <w:p>
      <w:pPr>
        <w:ind w:left="720"/>
      </w:pPr>
      <w:r>
        <w:rPr>
          <w:rFonts w:ascii="Kalpurush" w:cs="Kalpurush" w:eastAsia="Kalpurush" w:hAnsi="Kalpurush"/>
          <w:b/>
          <w:bCs/>
          <w:i/>
          <w:iCs/>
          <w:sz w:val="20"/>
          <w:szCs w:val="20"/>
        </w:rPr>
        <w:t xml:space="preserve">Doctrine of Approbate and Reprobate:</w:t>
      </w:r>
      <w:r>
        <w:rPr>
          <w:rFonts w:ascii="Kalpurush" w:cs="Kalpurush" w:eastAsia="Kalpurush" w:hAnsi="Kalpurush"/>
          <w:i/>
          <w:iCs/>
          <w:sz w:val="20"/>
          <w:szCs w:val="20"/>
        </w:rPr>
        <w:t xml:space="preserve"> কোনো পক্ষ একই বিষয়ে পরস্পরবিরোধী অবস্থান গ্রহণ করিতে পারে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৫. Hotchpot এবং ১নং বিবাদীর অবস্থান: Procedural Technicality-র ভ্রান্ত প্রয়োগ</w:t>
      </w:r>
    </w:p>
    <w:p>
      <w:r>
        <w:rPr>
          <w:rFonts w:ascii="Kalpurush" w:cs="Kalpurush" w:eastAsia="Kalpurush" w:hAnsi="Kalpurush"/>
        </w:rPr>
        <w:t xml:space="preserve"/>
      </w:r>
    </w:p>
    <w:p>
      <w:r>
        <w:rPr>
          <w:rFonts w:ascii="Kalpurush" w:cs="Kalpurush" w:eastAsia="Kalpurush" w:hAnsi="Kalpurush"/>
          <w:b/>
          <w:bCs/>
          <w:sz w:val="20"/>
          <w:szCs w:val="20"/>
        </w:rPr>
        <w:t xml:space="preserve">ক. বিজ্ঞ ট্রায়াল কোর্টের সিদ্ধান্ত:</w:t>
      </w:r>
      <w:r>
        <w:rPr>
          <w:rFonts w:ascii="Kalpurush" w:cs="Kalpurush" w:eastAsia="Kalpurush" w:hAnsi="Kalpurush"/>
          <w:sz w:val="20"/>
          <w:szCs w:val="20"/>
        </w:rPr>
        <w:t xml:space="preserve"> ১২৫৯ নং দাগের সরকারি খাস জমি বাদ দেওয়াকে hotchpot defect এবং সরকারকে পক্ষভুক্ত না করাকে non-joinder হিসাবে বিবেচনা করিয়া বিজ্ঞ আদালত মামলা খারিজ করিয়াছেন।</w:t>
      </w:r>
    </w:p>
    <w:p>
      <w:r>
        <w:rPr>
          <w:rFonts w:ascii="Kalpurush" w:cs="Kalpurush" w:eastAsia="Kalpurush" w:hAnsi="Kalpurush"/>
        </w:rPr>
        <w:t xml:space="preserve"/>
      </w:r>
    </w:p>
    <w:p>
      <w:r>
        <w:rPr>
          <w:rFonts w:ascii="Kalpurush" w:cs="Kalpurush" w:eastAsia="Kalpurush" w:hAnsi="Kalpurush"/>
          <w:b/>
          <w:bCs/>
          <w:sz w:val="20"/>
          <w:szCs w:val="20"/>
        </w:rPr>
        <w:t xml:space="preserve">খ. কেন এই সিদ্ধান্ত অসম্ভব:</w:t>
      </w:r>
      <w:r>
        <w:rPr>
          <w:rFonts w:ascii="Kalpurush" w:cs="Kalpurush" w:eastAsia="Kalpurush" w:hAnsi="Kalpurush"/>
          <w:sz w:val="20"/>
          <w:szCs w:val="20"/>
        </w:rPr>
        <w:t xml:space="preserve"> শুধুমাত্র একই দাগ নম্বর থাকার কারণে সম্পূর্ণ জমি একই tenancy-র অন্তর্ভুক্ত হয় না। SA ২৩৮ একটি সুনির্দিষ্ট ব্যক্তিগত tenancy, এবং সরকারি খাস জমি পৃথক খতিয়ানে বিদ্যমান। আপীল্যান্টরা সরকারি জমিতে কোনো share দাবি করেন নাই এবং সরকারের বিরুদ্ধে কোনো relief (declaration/partition) চান নাই। সুতরাং, যে জমি partition-এর subject matter-ই নহে, তাহা বাদ দিলে hotchpot defect হয় না।</w:t>
      </w:r>
    </w:p>
    <w:p>
      <w:r>
        <w:rPr>
          <w:rFonts w:ascii="Kalpurush" w:cs="Kalpurush" w:eastAsia="Kalpurush" w:hAnsi="Kalpurush"/>
        </w:rPr>
        <w:t xml:space="preserve"/>
      </w:r>
    </w:p>
    <w:p>
      <w:r>
        <w:rPr>
          <w:rFonts w:ascii="Kalpurush" w:cs="Kalpurush" w:eastAsia="Kalpurush" w:hAnsi="Kalpurush"/>
          <w:b/>
          <w:bCs/>
          <w:sz w:val="20"/>
          <w:szCs w:val="20"/>
        </w:rPr>
        <w:t xml:space="preserve">গ. বিরোধী সাক্ষ্য বা দালিলিক প্রমাণ:</w:t>
      </w:r>
      <w:r>
        <w:rPr>
          <w:rFonts w:ascii="Kalpurush" w:cs="Kalpurush" w:eastAsia="Kalpurush" w:hAnsi="Kalpurush"/>
          <w:sz w:val="20"/>
          <w:szCs w:val="20"/>
        </w:rPr>
        <w:t xml:space="preserve"> ১ নং বিবাদী (আব্দুল আলীর উত্তরাধিকারী) আপীল্যান্টদের সঙ্গে বাটোয়ারা সম্পন্ন করার বিষয়ে একমত। মূল বিরোধ অন্যান্য বিবাদীদের সাথে। সুতরাং, ১ নং বিবাদীর অবস্থানকে বাদীপক্ষের বিরুদ্ধে title claim হিসাবে বিবেচনা করিবার সুযোগ নাই। Procedural technicality-র ভিত্তিতে substantive rights-এর adjudication অস্বীকার করা ন্যায়বিচারের পরিপন্থী।</w:t>
      </w:r>
    </w:p>
    <w:p>
      <w:r>
        <w:rPr>
          <w:rFonts w:ascii="Kalpurush" w:cs="Kalpurush" w:eastAsia="Kalpurush" w:hAnsi="Kalpurush"/>
        </w:rPr>
        <w:t xml:space="preserve"/>
      </w:r>
    </w:p>
    <w:p>
      <w:r>
        <w:rPr>
          <w:rFonts w:ascii="Kalpurush" w:cs="Kalpurush" w:eastAsia="Kalpurush" w:hAnsi="Kalpurush"/>
          <w:b/>
          <w:bCs/>
          <w:sz w:val="20"/>
          <w:szCs w:val="20"/>
        </w:rPr>
        <w:t xml:space="preserve">ঘ. প্রযোজ্য আইনি নজির (Authority):</w:t>
      </w:r>
    </w:p>
    <w:p>
      <w:pPr>
        <w:ind w:left="720"/>
      </w:pPr>
      <w:r>
        <w:rPr>
          <w:rFonts w:ascii="Kalpurush" w:cs="Kalpurush" w:eastAsia="Kalpurush" w:hAnsi="Kalpurush"/>
          <w:b/>
          <w:bCs/>
          <w:i/>
          <w:iCs/>
          <w:sz w:val="20"/>
          <w:szCs w:val="20"/>
        </w:rPr>
        <w:t xml:space="preserve">Md. Shahjalan Akon vs. Murshida Khanam, 27 BLD (HD) 229:</w:t>
      </w:r>
      <w:r>
        <w:rPr>
          <w:rFonts w:ascii="Kalpurush" w:cs="Kalpurush" w:eastAsia="Kalpurush" w:hAnsi="Kalpurush"/>
          <w:i/>
          <w:iCs/>
          <w:sz w:val="20"/>
          <w:szCs w:val="20"/>
        </w:rPr>
        <w:t xml:space="preserve"> পৃথক খতিয়ান পৃথক tenancy সৃষ্টি করে; সংলগ্ন সরকারি জমি বাদ দিলে hotchpot defect তৈরি হয় না।</w:t>
      </w:r>
    </w:p>
    <w:p>
      <w:pPr>
        <w:ind w:left="720"/>
      </w:pPr>
      <w:r>
        <w:rPr>
          <w:rFonts w:ascii="Kalpurush" w:cs="Kalpurush" w:eastAsia="Kalpurush" w:hAnsi="Kalpurush"/>
          <w:b/>
          <w:bCs/>
          <w:i/>
          <w:iCs/>
          <w:sz w:val="20"/>
          <w:szCs w:val="20"/>
        </w:rPr>
        <w:t xml:space="preserve">Safaruddin vs. Fazlul Huq, 49 DLR (AD) 15:</w:t>
      </w:r>
      <w:r>
        <w:rPr>
          <w:rFonts w:ascii="Kalpurush" w:cs="Kalpurush" w:eastAsia="Kalpurush" w:hAnsi="Kalpurush"/>
          <w:i/>
          <w:iCs/>
          <w:sz w:val="20"/>
          <w:szCs w:val="20"/>
        </w:rPr>
        <w:t xml:space="preserve"> প্রাইভেট কো-শেয়ারারদের মধ্যে বাটোয়ারা মামলায় সরকার necessary party নহে।</w:t>
      </w:r>
    </w:p>
    <w:p>
      <w:pPr>
        <w:ind w:left="720"/>
      </w:pPr>
      <w:r>
        <w:rPr>
          <w:rFonts w:ascii="Kalpurush" w:cs="Kalpurush" w:eastAsia="Kalpurush" w:hAnsi="Kalpurush"/>
          <w:b/>
          <w:bCs/>
          <w:i/>
          <w:iCs/>
          <w:sz w:val="20"/>
          <w:szCs w:val="20"/>
        </w:rPr>
        <w:t xml:space="preserve">Syed Nurul Huda vs. Govt. of Bangladesh, 8 SCOB (2016) HCD 1:</w:t>
      </w:r>
      <w:r>
        <w:rPr>
          <w:rFonts w:ascii="Kalpurush" w:cs="Kalpurush" w:eastAsia="Kalpurush" w:hAnsi="Kalpurush"/>
          <w:i/>
          <w:iCs/>
          <w:sz w:val="20"/>
          <w:szCs w:val="20"/>
        </w:rPr>
        <w:t xml:space="preserve"> Necessary party না হইলে non-joinder মামলা খারিজের কারণ নহে।</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উপসংহার</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এই মামলায় আপীল্যান্টদের অবস্থান কোনো একটি মাত্র কাগজের উপর নির্ভরশীল নহে। আপীল্যান্টদের documentary chain হইল—</w:t>
      </w:r>
    </w:p>
    <w:p>
      <w:r>
        <w:rPr>
          <w:rFonts w:ascii="Kalpurush" w:cs="Kalpurush" w:eastAsia="Kalpurush" w:hAnsi="Kalpurush"/>
          <w:sz w:val="20"/>
          <w:szCs w:val="20"/>
        </w:rPr>
        <w:t xml:space="preserve">CS খাস জমি → State Acquisition/Settlement → SA ২৩৮ নং খতিয়ানে আব্দুল আলীর একক রায়তি স্বত্ব → ২৩৯৮/১৯৫৭ নং নিবন্ধিত দলিল দ্বারা সংশ্লিষ্ট সম্পত্তির documentary corroboration → জেলা রেকর্ড রুমে সংরক্ষিত মূল SA record।</w:t>
      </w:r>
    </w:p>
    <w:p>
      <w:r>
        <w:rPr>
          <w:rFonts w:ascii="Kalpurush" w:cs="Kalpurush" w:eastAsia="Kalpurush" w:hAnsi="Kalpurush"/>
        </w:rPr>
        <w:t xml:space="preserve"/>
      </w:r>
    </w:p>
    <w:p>
      <w:r>
        <w:rPr>
          <w:rFonts w:ascii="Kalpurush" w:cs="Kalpurush" w:eastAsia="Kalpurush" w:hAnsi="Kalpurush"/>
          <w:sz w:val="20"/>
          <w:szCs w:val="20"/>
        </w:rPr>
        <w:t xml:space="preserve">বিবাদীপক্ষের chain-এর দুইটি foundational link—(ক) আব্দুল করিমের root tenancy এবং (খ) ১৯৬৯ সালের alleged correction-এর legal order—কোনোটিই primary documentary evidence দ্বারা প্রতিষ্ঠিত নহে। একটি অপ্রমাণিত consequential volume entry কখনো একটি অনুপস্থিত foundational order-এর বিকল্প হইতে পারে না। বিবাদীপক্ষ SA রেকর্ড ভুল প্রমাণ করার legal burden পূরণে সম্পূর্ণ ব্যর্থ হইয়াছে।</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প্রার্থনা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আদালতের নিকট বিনীত প্রার্থনা এই যে—</w:t>
      </w:r>
    </w:p>
    <w:p>
      <w:r>
        <w:rPr>
          <w:rFonts w:ascii="Kalpurush" w:cs="Kalpurush" w:eastAsia="Kalpurush" w:hAnsi="Kalpurush"/>
        </w:rPr>
        <w:t xml:space="preserve"/>
      </w:r>
    </w:p>
    <w:p>
      <w:r>
        <w:rPr>
          <w:rFonts w:ascii="Kalpurush" w:cs="Kalpurush" w:eastAsia="Kalpurush" w:hAnsi="Kalpurush"/>
          <w:sz w:val="20"/>
          <w:szCs w:val="20"/>
        </w:rPr>
        <w:t xml:space="preserve">ক. বিজ্ঞ নিম্ন আদালতের ০৫/০৪/২০২৬ তারিখের Judgment এবং ০৯/০৪/২০২৬ তারিখের Decree বাতিল ও রহিত করা হউক;</w:t>
      </w:r>
    </w:p>
    <w:p>
      <w:r>
        <w:rPr>
          <w:rFonts w:ascii="Kalpurush" w:cs="Kalpurush" w:eastAsia="Kalpurush" w:hAnsi="Kalpurush"/>
        </w:rPr>
        <w:t xml:space="preserve"/>
      </w:r>
    </w:p>
    <w:p>
      <w:r>
        <w:rPr>
          <w:rFonts w:ascii="Kalpurush" w:cs="Kalpurush" w:eastAsia="Kalpurush" w:hAnsi="Kalpurush"/>
          <w:sz w:val="20"/>
          <w:szCs w:val="20"/>
        </w:rPr>
        <w:t xml:space="preserve">খ. SA ২৩৮ নং খতিয়ানে প্রতিফলিত আব্দুল আলীর স্বত্বের ভিত্তিতে আপীল্যান্ট/বাদীপক্ষ এবং ১ নং রেসপনডেন্টের স্ব স্ব হিস্যা নির্ধারণপূর্বক বাটোয়ারা মামলা অগ্রসর করার নির্দেশ প্রদান করা হউক;</w:t>
      </w:r>
    </w:p>
    <w:p>
      <w:r>
        <w:rPr>
          <w:rFonts w:ascii="Kalpurush" w:cs="Kalpurush" w:eastAsia="Kalpurush" w:hAnsi="Kalpurush"/>
        </w:rPr>
        <w:t xml:space="preserve"/>
      </w:r>
    </w:p>
    <w:p>
      <w:r>
        <w:rPr>
          <w:rFonts w:ascii="Kalpurush" w:cs="Kalpurush" w:eastAsia="Kalpurush" w:hAnsi="Kalpurush"/>
          <w:sz w:val="20"/>
          <w:szCs w:val="20"/>
        </w:rPr>
        <w:t xml:space="preserve">গ. প্রয়োজনে একজন Advocate Commissioner নিয়োগ করিয়া কেবল SA ২৩৮ নং খতিয়ানভুক্ত সম্পত্তি বণ্টনের ব্যবস্থা গ্রহণের নির্দেশ প্রদান করা হউক, যাহাতে পৃথক সরকারি খতিয়ানভুক্ত জমিতে কোনো হস্তক্ষেপ না ঘটে;</w:t>
      </w:r>
    </w:p>
    <w:p>
      <w:r>
        <w:rPr>
          <w:rFonts w:ascii="Kalpurush" w:cs="Kalpurush" w:eastAsia="Kalpurush" w:hAnsi="Kalpurush"/>
        </w:rPr>
        <w:t xml:space="preserve"/>
      </w:r>
    </w:p>
    <w:p>
      <w:r>
        <w:rPr>
          <w:rFonts w:ascii="Kalpurush" w:cs="Kalpurush" w:eastAsia="Kalpurush" w:hAnsi="Kalpurush"/>
          <w:sz w:val="20"/>
          <w:szCs w:val="20"/>
        </w:rPr>
        <w:t xml:space="preserve">ঘ. আপিল মঞ্জুর করিয়া ন্যায়বিচার নিশ্চিত করা হউক।</w:t>
      </w:r>
    </w:p>
    <w:p>
      <w:r>
        <w:rPr>
          <w:rFonts w:ascii="Kalpurush" w:cs="Kalpurush" w:eastAsia="Kalpurush" w:hAnsi="Kalpurush"/>
        </w:rPr>
        <w:t xml:space="preserve"/>
      </w:r>
    </w:p>
    <w:p>
      <w:r>
        <w:rPr>
          <w:rFonts w:ascii="Kalpurush" w:cs="Kalpurush" w:eastAsia="Kalpurush" w:hAnsi="Kalpurush"/>
          <w:sz w:val="20"/>
          <w:szCs w:val="20"/>
        </w:rPr>
        <w:t xml:space="preserve">বিনীত নিবেদন সমাপ্ত।</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2026-08-14T11:38:28.671Z</dcterms:created>
  <dcterms:modified xsi:type="dcterms:W3CDTF">2026-08-14T11:38:28.677Z</dcterms:modified>
</cp:coreProperties>
</file>

<file path=docProps/custom.xml><?xml version="1.0" encoding="utf-8"?>
<Properties xmlns="http://schemas.openxmlformats.org/officeDocument/2006/custom-properties" xmlns:vt="http://schemas.openxmlformats.org/officeDocument/2006/docPropsVTypes"/>
</file>