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বনাম আলহাজ উদ্দিন ও অন্যান্য</w:t>
      </w:r>
    </w:p>
    <w:p>
      <w:r>
        <w:rPr>
          <w:rFonts w:ascii="Kalpurush" w:cs="Kalpurush" w:eastAsia="Kalpurush" w:hAnsi="Kalpurush"/>
          <w:b/>
          <w:bCs/>
          <w:sz w:val="20"/>
          <w:szCs w:val="20"/>
        </w:rPr>
        <w:t xml:space="preserve">আপীল্যান্টপক্ষের পূর্ণাঙ্গ লিখিত যুক্তিতর্ক (Version 52 — Final Master Brief with Prayer)</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অসংখ্য প্রশ্নের উত্তর দেওয়ার প্রয়োজন নাই। মামলাটি মূলত একটি প্রশ্নে সীমাবদ্ধ:</w:t>
      </w:r>
    </w:p>
    <w:p>
      <w:r>
        <w:rPr>
          <w:rFonts w:ascii="Kalpurush" w:cs="Kalpurush" w:eastAsia="Kalpurush" w:hAnsi="Kalpurush"/>
        </w:rPr>
        <w:t xml:space="preserve"/>
      </w:r>
    </w:p>
    <w:p>
      <w:r>
        <w:rPr>
          <w:rFonts w:ascii="Kalpurush" w:cs="Kalpurush" w:eastAsia="Kalpurush" w:hAnsi="Kalpurush"/>
          <w:b/>
          <w:bCs/>
          <w:sz w:val="20"/>
          <w:szCs w:val="20"/>
        </w:rPr>
        <w:t xml:space="preserve">চূড়ান্তভাবে প্রকাশিত এবং আজও জেলা প্রশাসকের সেটেলমেন্ট রেকর্ড রুমে অপরিবর্তিত SA ২৩৮ নং খতিয়ান কি একটি অপ্রমাণিত Misc Case এবং AC Land অফিসের ভিন্ন কালিতে লেখা একটি ব্যাখ্যাহীন মার্জিন নোট দ্বারা পরাজিত হইতে পারে?</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 — </w:t>
      </w:r>
      <w:r>
        <w:rPr>
          <w:rFonts w:ascii="Kalpurush" w:cs="Kalpurush" w:eastAsia="Kalpurush" w:hAnsi="Kalpurush"/>
          <w:b/>
          <w:bCs/>
          <w:sz w:val="20"/>
          <w:szCs w:val="20"/>
        </w:rPr>
        <w:t xml:space="preserve">কখনোই পারে 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সিএস খতিয়ান প্রমাণ করে যে এই জমি মূলত প্রজা বা রায়তি সম্পত্তি ছিল না। </w:t>
      </w:r>
      <w:r>
        <w:rPr>
          <w:rFonts w:ascii="Kalpurush" w:cs="Kalpurush" w:eastAsia="Kalpurush" w:hAnsi="Kalpurush"/>
          <w:b/>
          <w:bCs/>
          <w:sz w:val="20"/>
          <w:szCs w:val="20"/>
        </w:rPr>
        <w:t xml:space="preserve">অতএব, বিবাদীরা যদি মালিকানা হস্তান্তরের দাবি করেন, তাহলে আব্দুল করিমের স্বত্ব প্রথমে প্রমাণ করিবেন – যা তাঁরা করেননি।</w:t>
      </w:r>
      <w:r>
        <w:rPr>
          <w:rFonts w:ascii="Kalpurush" w:cs="Kalpurush" w:eastAsia="Kalpurush" w:hAnsi="Kalpurush"/>
          <w:sz w:val="20"/>
          <w:szCs w:val="20"/>
        </w:rPr>
        <w:t xml:space="preserve"> অপরদিকে, এসএ খতিয়ান দ্বারা সুস্পষ্টভাবে প্রমাণিত হয় যে মধ্যস্বত্ব বিলোপ করে রাষ্ট্র সরাসরি আব্দুল আলীকে ১৬ আনা হিস্যায় রায়ত হিসেবে করদ প্রজা হিসেবে স্বীকৃতি দিয়াছে।</w:t>
      </w:r>
    </w:p>
    <w:p>
      <w:r>
        <w:rPr>
          <w:rFonts w:ascii="Kalpurush" w:cs="Kalpurush" w:eastAsia="Kalpurush" w:hAnsi="Kalpurush"/>
        </w:rPr>
        <w:t xml:space="preserve"/>
      </w:r>
    </w:p>
    <w:p>
      <w:r>
        <w:rPr>
          <w:rFonts w:ascii="Kalpurush" w:cs="Kalpurush" w:eastAsia="Kalpurush" w:hAnsi="Kalpurush"/>
          <w:sz w:val="20"/>
          <w:szCs w:val="20"/>
        </w:rPr>
        <w:t xml:space="preserve">বিবাদীদের পুরো প্রতিরক্ষা একটি অপ্রমাণিত Title Story-র উপর দাঁড়াইয়া আছে। Misc Case প্রমাণিত না হইলে এবং Volume Note আইনগতভাবে মূল্যহীন হইলে, ট্রায়াল কোর্টের রায় টিকিয়া থাকিতে পারে না। বিজ্ঞ বিচারিক আদালত আইনের সুপ্রতিষ্ঠিত evidentiary standard লঙ্ঘন করিয়া একটি State Record-কে খারিজ করিয়াছেন — যাহা উচ্চ আদালতে হস্তক্ষেপযোগ্য।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1</w:t>
      </w:r>
    </w:p>
    <w:p>
      <w:pPr>
        <w:pStyle w:val="Heading2"/>
      </w:pPr>
      <w:r>
        <w:rPr>
          <w:rFonts w:ascii="Kalpurush" w:cs="Kalpurush" w:eastAsia="Kalpurush" w:hAnsi="Kalpurush"/>
          <w:sz w:val="20"/>
          <w:szCs w:val="20"/>
        </w:rPr>
        <w:t xml:space="preserve">SA ২৩৮ খতিয়ান কি এখনও আইনগতভাবে বহাল ও কার্যকর?</w:t>
      </w:r>
    </w:p>
    <w:p>
      <w:pPr>
        <w:pStyle w:val="Heading3"/>
      </w:pPr>
      <w:r>
        <w:rPr>
          <w:rFonts w:ascii="Kalpurush" w:cs="Kalpurush" w:eastAsia="Kalpurush" w:hAnsi="Kalpurush"/>
          <w:sz w:val="20"/>
          <w:szCs w:val="20"/>
        </w:rPr>
        <w:t xml:space="preserve">*(State Recognition vs. Impossible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b/>
          <w:bCs/>
          <w:sz w:val="20"/>
          <w:szCs w:val="20"/>
        </w:rPr>
        <w:t xml:space="preserve">এই মামলার কেন্দ্রবিন্দু মাত্র একটি।</w:t>
      </w:r>
    </w:p>
    <w:p>
      <w:r>
        <w:rPr>
          <w:rFonts w:ascii="Kalpurush" w:cs="Kalpurush" w:eastAsia="Kalpurush" w:hAnsi="Kalpurush"/>
        </w:rPr>
        <w:t xml:space="preserve"/>
      </w:r>
    </w:p>
    <w:p>
      <w:r>
        <w:rPr>
          <w:rFonts w:ascii="Kalpurush" w:cs="Kalpurush" w:eastAsia="Kalpurush" w:hAnsi="Kalpurush"/>
          <w:sz w:val="20"/>
          <w:szCs w:val="20"/>
        </w:rPr>
        <w:t xml:space="preserve">এই আপীলে বাদীপক্ষের বক্তব্য কোনো প্রাক্-SA (Pre-SA) title reconstruction-এর উপর নির্ভরশীল নয়। রাষ্ট্র Estate Acquisition-এর পর নিজস্ব প্রশাসনিক ও জরিপ প্রক্রিয়ার মাধ্যমে SA ২৩৮ নং খতিয়ান প্রস্তুত ও চূড়ান্তভাবে প্রকাশ করে। সেই রেকর্ডে আব্দুল আলী একক রায়ত হিসেবে স্বীকৃত। অতএব বর্তমান বিতর্কের সূচনা বিন্দু ১৯৩৪ সালের কথিত পত্তন নহে; বরং রাষ্ট্র কর্তৃক চূড়ান্তভাবে স্বীকৃত SA Record।</w:t>
      </w:r>
    </w:p>
    <w:p>
      <w:r>
        <w:rPr>
          <w:rFonts w:ascii="Kalpurush" w:cs="Kalpurush" w:eastAsia="Kalpurush" w:hAnsi="Kalpurush"/>
        </w:rPr>
        <w:t xml:space="preserve"/>
      </w:r>
    </w:p>
    <w:p>
      <w:r>
        <w:rPr>
          <w:rFonts w:ascii="Kalpurush" w:cs="Kalpurush" w:eastAsia="Kalpurush" w:hAnsi="Kalpurush"/>
          <w:b/>
          <w:bCs/>
          <w:sz w:val="20"/>
          <w:szCs w:val="20"/>
        </w:rPr>
        <w:t xml:space="preserve">যে পক্ষ এই State Recognition অস্বীকার করে, সেই পক্ষকেই উহা ভাঙিবার জন্য নির্ভরযোগ্য ও আইনসিদ্ধ প্রমাণ উপস্থাপন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The State Record and its Corroboration:</w:t>
      </w:r>
    </w:p>
    <w:p>
      <w:r>
        <w:rPr>
          <w:rFonts w:ascii="Kalpurush" w:cs="Kalpurush" w:eastAsia="Kalpurush" w:hAnsi="Kalpurush"/>
        </w:rPr>
        <w:t xml:space="preserve"/>
      </w:r>
    </w:p>
    <w:p>
      <w:r>
        <w:rPr>
          <w:rFonts w:ascii="Kalpurush" w:cs="Kalpurush" w:eastAsia="Kalpurush" w:hAnsi="Kalpurush"/>
          <w:sz w:val="20"/>
          <w:szCs w:val="20"/>
        </w:rPr>
        <w:t xml:space="preserve">SA ২৩৮ নং খতিয়ানই বাদীপক্ষের প্রধান ভিত্তি। ১৩৫৭ বঙ্গাব্দের খাজনা রসিদ এবং ১৯৫৭ সালের রেজিস্ট্রিকৃত দলিল কেবল উক্ত State Record-এর সহায়ক ও সমর্থনকারী পরিস্থিতিগত প্রমাণ (corroborative evidence) হিসেবে বিবেচ্য।</w:t>
      </w:r>
    </w:p>
    <w:p>
      <w:r>
        <w:rPr>
          <w:rFonts w:ascii="Kalpurush" w:cs="Kalpurush" w:eastAsia="Kalpurush" w:hAnsi="Kalpurush"/>
        </w:rPr>
        <w:t xml:space="preserve"/>
      </w:r>
    </w:p>
    <w:p>
      <w:r>
        <w:rPr>
          <w:rFonts w:ascii="Kalpurush" w:cs="Kalpurush" w:eastAsia="Kalpurush" w:hAnsi="Kalpurush"/>
          <w:b/>
          <w:bCs/>
          <w:sz w:val="20"/>
          <w:szCs w:val="20"/>
        </w:rPr>
        <w:t xml:space="preserve">১৯৫৭ সালের রেজিস্ট্রিকৃত দলিলের তাৎপর্য:</w:t>
      </w:r>
      <w:r>
        <w:rPr>
          <w:rFonts w:ascii="Kalpurush" w:cs="Kalpurush" w:eastAsia="Kalpurush" w:hAnsi="Kalpurush"/>
          <w:sz w:val="20"/>
          <w:szCs w:val="20"/>
        </w:rPr>
        <w:t xml:space="preserve"> ২৩৯৮ নং রেজিস্ট্রিকৃত দলিল দ্বারা প্রমাণিত হয় যে, SA অপারেশন চলমান থাকাকালীন সময়ে আব্দুল আলী সংশ্লিষ্ট মৌজায় স্বীয় নামে প্রকাশ্যে সম্পত্তি ক্রয় ও ভোগদখল করিতেছিলেন। উক্ত দলিলভুক্ত জমিও SA ২৩৮ নং খতিয়ানের তফসিলভুক্ত জমির অংশ। ফলে দলিলটি প্রমাণ করে যে SA জরিপ ও রেকর্ড প্রস্তুতির সময় আব্দুল আলী স্থানীয়ভাবে স্বীকৃত ও পরিচিত ভূমি-স্বত্বের অধিকারী ব্যক্তি ছিলেন।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r>
        <w:rPr>
          <w:rFonts w:ascii="Kalpurush" w:cs="Kalpurush" w:eastAsia="Kalpurush" w:hAnsi="Kalpurush"/>
          <w:i/>
          <w:iCs/>
          <w:sz w:val="20"/>
          <w:szCs w:val="20"/>
        </w:rPr>
        <w:t xml:space="preserve"> *"Tenancy status is determined by zamindari pattan or state recognition, not by personal law of inheritance."*</w:t>
      </w:r>
    </w:p>
    <w:p>
      <w:r>
        <w:rPr>
          <w:rFonts w:ascii="Kalpurush" w:cs="Kalpurush" w:eastAsia="Kalpurush" w:hAnsi="Kalpurush"/>
        </w:rPr>
        <w:t xml:space="preserve"/>
      </w:r>
    </w:p>
    <w:p>
      <w:r>
        <w:rPr>
          <w:rFonts w:ascii="Kalpurush" w:cs="Kalpurush" w:eastAsia="Kalpurush" w:hAnsi="Kalpurush"/>
          <w:b/>
          <w:bCs/>
          <w:sz w:val="20"/>
          <w:szCs w:val="20"/>
        </w:rPr>
        <w:t xml:space="preserve">The Impossible Theory:</w:t>
      </w:r>
    </w:p>
    <w:p>
      <w:r>
        <w:rPr>
          <w:rFonts w:ascii="Kalpurush" w:cs="Kalpurush" w:eastAsia="Kalpurush" w:hAnsi="Kalpurush"/>
        </w:rPr>
        <w:t xml:space="preserve"/>
      </w:r>
    </w:p>
    <w:p>
      <w:r>
        <w:rPr>
          <w:rFonts w:ascii="Kalpurush" w:cs="Kalpurush" w:eastAsia="Kalpurush" w:hAnsi="Kalpurush"/>
          <w:sz w:val="20"/>
          <w:szCs w:val="20"/>
        </w:rPr>
        <w:t xml:space="preserve">বিবাদীদের মূল বক্তব্য — আব্দুল করিম প্রকৃত প্রজা ছিলেন, কিন্তু ভুলক্রমে আব্দুল আলীর নামে একক SA রেকর্ড প্রস্তুত হইয়াছে। কিন্তু এই তত্ত্ব গ্রহণ করিতে হইলে আদালতকে একযোগে বিশ্বাস করিতে হইবে যে —</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SA জরিপ কর্তৃপক্ষ ভুল করিয়াছেন</w:t>
      </w:r>
    </w:p>
    <w:p>
      <w:pPr>
        <w:pStyle w:val="ListParagraph"/>
        <w:numPr>
          <w:ilvl w:val="0"/>
          <w:numId w:val="1"/>
        </w:numPr>
      </w:pPr>
      <w:r>
        <w:rPr>
          <w:rFonts w:ascii="Kalpurush" w:cs="Kalpurush" w:eastAsia="Kalpurush" w:hAnsi="Kalpurush"/>
          <w:sz w:val="20"/>
          <w:szCs w:val="20"/>
        </w:rPr>
        <w:t xml:space="preserve">Draft Khatian পর্যায়ে ভুল ধরা পড়েনি</w:t>
      </w:r>
    </w:p>
    <w:p>
      <w:pPr>
        <w:pStyle w:val="ListParagraph"/>
        <w:numPr>
          <w:ilvl w:val="0"/>
          <w:numId w:val="1"/>
        </w:numPr>
      </w:pPr>
      <w:r>
        <w:rPr>
          <w:rFonts w:ascii="Kalpurush" w:cs="Kalpurush" w:eastAsia="Kalpurush" w:hAnsi="Kalpurush"/>
          <w:sz w:val="20"/>
          <w:szCs w:val="20"/>
        </w:rPr>
        <w:t xml:space="preserve">Appeal পর্যায়ে ভুল ধরা পড়েনি</w:t>
      </w:r>
    </w:p>
    <w:p>
      <w:pPr>
        <w:pStyle w:val="ListParagraph"/>
        <w:numPr>
          <w:ilvl w:val="0"/>
          <w:numId w:val="1"/>
        </w:numPr>
      </w:pPr>
      <w:r>
        <w:rPr>
          <w:rFonts w:ascii="Kalpurush" w:cs="Kalpurush" w:eastAsia="Kalpurush" w:hAnsi="Kalpurush"/>
          <w:sz w:val="20"/>
          <w:szCs w:val="20"/>
        </w:rPr>
        <w:t xml:space="preserve">Revision পর্যায়ে ভুল ধরা পড়েনি</w:t>
      </w:r>
    </w:p>
    <w:p>
      <w:pPr>
        <w:pStyle w:val="ListParagraph"/>
        <w:numPr>
          <w:ilvl w:val="0"/>
          <w:numId w:val="1"/>
        </w:numPr>
      </w:pPr>
      <w:r>
        <w:rPr>
          <w:rFonts w:ascii="Kalpurush" w:cs="Kalpurush" w:eastAsia="Kalpurush" w:hAnsi="Kalpurush"/>
          <w:sz w:val="20"/>
          <w:szCs w:val="20"/>
        </w:rPr>
        <w:t xml:space="preserve">চূড়ান্ত প্রকাশনার পরও সংশোধিত হয়নি</w:t>
      </w:r>
    </w:p>
    <w:p>
      <w:pPr>
        <w:pStyle w:val="ListParagraph"/>
        <w:numPr>
          <w:ilvl w:val="0"/>
          <w:numId w:val="1"/>
        </w:numPr>
      </w:pPr>
      <w:r>
        <w:rPr>
          <w:rFonts w:ascii="Kalpurush" w:cs="Kalpurush" w:eastAsia="Kalpurush" w:hAnsi="Kalpurush"/>
          <w:sz w:val="20"/>
          <w:szCs w:val="20"/>
        </w:rPr>
        <w:t xml:space="preserve">৫০ বছরের অধিক সময়েও Record Room সংশোধিত হয়নি</w:t>
      </w:r>
    </w:p>
    <w:p>
      <w:r>
        <w:rPr>
          <w:rFonts w:ascii="Kalpurush" w:cs="Kalpurush" w:eastAsia="Kalpurush" w:hAnsi="Kalpurush"/>
        </w:rPr>
        <w:t xml:space="preserve"/>
      </w:r>
    </w:p>
    <w:p>
      <w:r>
        <w:rPr>
          <w:rFonts w:ascii="Kalpurush" w:cs="Kalpurush" w:eastAsia="Kalpurush" w:hAnsi="Kalpurush"/>
          <w:sz w:val="20"/>
          <w:szCs w:val="20"/>
        </w:rPr>
        <w:t xml:space="preserve">আইন এতগুলো ধারাবাহিক প্রাতিষ্ঠানিক ভুলের উপর স্বত্ব প্রতিষ্ঠা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2</w:t>
      </w:r>
    </w:p>
    <w:p>
      <w:pPr>
        <w:pStyle w:val="Heading2"/>
      </w:pPr>
      <w:r>
        <w:rPr>
          <w:rFonts w:ascii="Kalpurush" w:cs="Kalpurush" w:eastAsia="Kalpurush" w:hAnsi="Kalpurush"/>
          <w:sz w:val="20"/>
          <w:szCs w:val="20"/>
        </w:rPr>
        <w:t xml:space="preserve">Section 144A অনুযায়ী Burden of Proof কার উপর?</w:t>
      </w:r>
    </w:p>
    <w:p>
      <w:pPr>
        <w:pStyle w:val="Heading3"/>
      </w:pPr>
      <w:r>
        <w:rPr>
          <w:rFonts w:ascii="Kalpurush" w:cs="Kalpurush" w:eastAsia="Kalpurush" w:hAnsi="Kalpurush"/>
          <w:sz w:val="20"/>
          <w:szCs w:val="20"/>
        </w:rPr>
        <w:t xml:space="preserve">*(The Shift of Evidentiary Burden)*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সবচেয়ে বড় আইনি ভুল এইখানে।</w:t>
      </w:r>
    </w:p>
    <w:p>
      <w:r>
        <w:rPr>
          <w:rFonts w:ascii="Kalpurush" w:cs="Kalpurush" w:eastAsia="Kalpurush" w:hAnsi="Kalpurush"/>
        </w:rPr>
        <w:t xml:space="preserve"/>
      </w:r>
    </w:p>
    <w:p>
      <w:r>
        <w:rPr>
          <w:rFonts w:ascii="Kalpurush" w:cs="Kalpurush" w:eastAsia="Kalpurush" w:hAnsi="Kalpurush"/>
          <w:sz w:val="20"/>
          <w:szCs w:val="20"/>
        </w:rPr>
        <w:t xml:space="preserve">বাদীপক্ষ আদালতে একটি সুস্পষ্ট Chain of Title প্রদর্শন করিয়াছেন:</w:t>
      </w:r>
    </w:p>
    <w:p>
      <w:r>
        <w:rPr>
          <w:rFonts w:ascii="Kalpurush" w:cs="Kalpurush" w:eastAsia="Kalpurush" w:hAnsi="Kalpurush"/>
          <w:b/>
          <w:bCs/>
          <w:sz w:val="20"/>
          <w:szCs w:val="20"/>
        </w:rPr>
        <w:t xml:space="preserve">State Recognition (SA 238) → Record Room Continuity → উত্তরাধিকার</w:t>
      </w:r>
    </w:p>
    <w:p>
      <w:r>
        <w:rPr>
          <w:rFonts w:ascii="Kalpurush" w:cs="Kalpurush" w:eastAsia="Kalpurush" w:hAnsi="Kalpurush"/>
        </w:rPr>
        <w:t xml:space="preserve"/>
      </w:r>
    </w:p>
    <w:p>
      <w:r>
        <w:rPr>
          <w:rFonts w:ascii="Kalpurush" w:cs="Kalpurush" w:eastAsia="Kalpurush" w:hAnsi="Kalpurush"/>
          <w:sz w:val="20"/>
          <w:szCs w:val="20"/>
        </w:rPr>
        <w:t xml:space="preserve">এই State Record (SA 238) প্রদর্শনের মাধ্যমেই বাদীপক্ষ তাহাদের initial burden discharge সম্পন্ন করিয়াছেন। </w:t>
      </w:r>
      <w:r>
        <w:rPr>
          <w:rFonts w:ascii="Kalpurush" w:cs="Kalpurush" w:eastAsia="Kalpurush" w:hAnsi="Kalpurush"/>
          <w:b/>
          <w:bCs/>
          <w:sz w:val="20"/>
          <w:szCs w:val="20"/>
        </w:rPr>
        <w:t xml:space="preserve">SAT Act, 1950-এর Section 144A</w:t>
      </w:r>
      <w:r>
        <w:rPr>
          <w:rFonts w:ascii="Kalpurush" w:cs="Kalpurush" w:eastAsia="Kalpurush" w:hAnsi="Kalpurush"/>
          <w:sz w:val="20"/>
          <w:szCs w:val="20"/>
        </w:rPr>
        <w:t xml:space="preserve"> অনুযায়ী, একটি খতিয়ান চূড়ান্তভাবে প্রকাশিত হইবার পর উহা আইনের দৃষ্টিতে নির্ভুল বলিয়া গণ্য হয় (Statutory Presumption of Correctness)। </w:t>
      </w:r>
    </w:p>
    <w:p>
      <w:r>
        <w:rPr>
          <w:rFonts w:ascii="Kalpurush" w:cs="Kalpurush" w:eastAsia="Kalpurush" w:hAnsi="Kalpurush"/>
        </w:rPr>
        <w:t xml:space="preserve"/>
      </w:r>
    </w:p>
    <w:p>
      <w:r>
        <w:rPr>
          <w:rFonts w:ascii="Kalpurush" w:cs="Kalpurush" w:eastAsia="Kalpurush" w:hAnsi="Kalpurush"/>
          <w:sz w:val="20"/>
          <w:szCs w:val="20"/>
        </w:rPr>
        <w:t xml:space="preserve">যিনি দাবি করেন যে এই চূড়ান্ত প্রকাশিত খতিয়ান পরবর্তীতে সংশোধিত হইয়াছে, সেই সংশোধন প্রমাণের </w:t>
      </w:r>
      <w:r>
        <w:rPr>
          <w:rFonts w:ascii="Kalpurush" w:cs="Kalpurush" w:eastAsia="Kalpurush" w:hAnsi="Kalpurush"/>
          <w:b/>
          <w:bCs/>
          <w:sz w:val="20"/>
          <w:szCs w:val="20"/>
        </w:rPr>
        <w:t xml:space="preserve">সম্পূর্ণ দায়ভার (Burden of Proof) তাহার উপরই বর্তায় (Evidence Act, Section 103)।</w:t>
      </w:r>
      <w:r>
        <w:rPr>
          <w:rFonts w:ascii="Kalpurush" w:cs="Kalpurush" w:eastAsia="Kalpurush" w:hAnsi="Kalpurush"/>
          <w:sz w:val="20"/>
          <w:szCs w:val="20"/>
        </w:rPr>
        <w:t xml:space="preserve"> </w:t>
      </w:r>
    </w:p>
    <w:p>
      <w:r>
        <w:rPr>
          <w:rFonts w:ascii="Kalpurush" w:cs="Kalpurush" w:eastAsia="Kalpurush" w:hAnsi="Kalpurush"/>
        </w:rPr>
        <w:t xml:space="preserve"/>
      </w:r>
    </w:p>
    <w:p>
      <w:r>
        <w:rPr>
          <w:rFonts w:ascii="Kalpurush" w:cs="Kalpurush" w:eastAsia="Kalpurush" w:hAnsi="Kalpurush"/>
          <w:sz w:val="20"/>
          <w:szCs w:val="20"/>
        </w:rPr>
        <w:t xml:space="preserve">কিন্তু বিজ্ঞ ট্রায়াল কোর্ট উল্টো বাদীকেই বাধ্য করিয়াছেন এমন একটি সংশোধন disprove করিতে — যাহার আইনি অস্তিত্বই বিবাদীরা প্রথমে প্রমাণ করিতে ব্যর্থ হইয়াছে। ইহা আইনের চরম লঙ্ঘন।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r>
        <w:rPr>
          <w:rFonts w:ascii="Kalpurush" w:cs="Kalpurush" w:eastAsia="Kalpurush" w:hAnsi="Kalpurush"/>
          <w:i/>
          <w:iCs/>
          <w:sz w:val="20"/>
          <w:szCs w:val="20"/>
        </w:rPr>
        <w:t xml:space="preserve"> *"A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r>
        <w:rPr>
          <w:rFonts w:ascii="Kalpurush" w:cs="Kalpurush" w:eastAsia="Kalpurush" w:hAnsi="Kalpurush"/>
          <w:i/>
          <w:iCs/>
          <w:sz w:val="20"/>
          <w:szCs w:val="20"/>
        </w:rPr>
        <w:t xml:space="preserve"> *"A trial court sometimes confuses 'plaintiff must prove' with 'plaintiff must disprove every counter-assertion'. This is erroneous."*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3</w:t>
      </w:r>
    </w:p>
    <w:p>
      <w:pPr>
        <w:pStyle w:val="Heading2"/>
      </w:pPr>
      <w:r>
        <w:rPr>
          <w:rFonts w:ascii="Kalpurush" w:cs="Kalpurush" w:eastAsia="Kalpurush" w:hAnsi="Kalpurush"/>
          <w:sz w:val="20"/>
          <w:szCs w:val="20"/>
        </w:rPr>
        <w:t xml:space="preserve">কথিত ১৯৩৪ সালের পত্তন ও Misc Case No. 1181/1969 — উভয়ই আইনগতভাবে অকার্যকর</w:t>
      </w:r>
    </w:p>
    <w:p>
      <w:pPr>
        <w:pStyle w:val="Heading3"/>
      </w:pPr>
      <w:r>
        <w:rPr>
          <w:rFonts w:ascii="Kalpurush" w:cs="Kalpurush" w:eastAsia="Kalpurush" w:hAnsi="Kalpurush"/>
          <w:sz w:val="20"/>
          <w:szCs w:val="20"/>
        </w:rPr>
        <w:t xml:space="preserve">*(The Double Collapse &amp; The Absence of Parent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সমগ্র মামলার ভিত্তি দুইটি। প্রথমটি — ১৯৩৪ সালের কথিত পত্তন। দ্বিতীয়টি — ১৯৬৯ সালের কথিত Misc Case। উভয়ই আইনগতভাবে অকার্যকর।</w:t>
      </w:r>
    </w:p>
    <w:p>
      <w:r>
        <w:rPr>
          <w:rFonts w:ascii="Kalpurush" w:cs="Kalpurush" w:eastAsia="Kalpurush" w:hAnsi="Kalpurush"/>
        </w:rPr>
        <w:t xml:space="preserve"/>
      </w:r>
    </w:p>
    <w:p>
      <w:r>
        <w:rPr>
          <w:rFonts w:ascii="Kalpurush" w:cs="Kalpurush" w:eastAsia="Kalpurush" w:hAnsi="Kalpurush"/>
          <w:b/>
          <w:bCs/>
          <w:sz w:val="20"/>
          <w:szCs w:val="20"/>
        </w:rPr>
        <w:t xml:space="preserve">কথিত পত্তনের মারাত্মক দুর্বলতা:</w:t>
      </w:r>
    </w:p>
    <w:p>
      <w:r>
        <w:rPr>
          <w:rFonts w:ascii="Kalpurush" w:cs="Kalpurush" w:eastAsia="Kalpurush" w:hAnsi="Kalpurush"/>
        </w:rPr>
        <w:t xml:space="preserve"/>
      </w:r>
    </w:p>
    <w:p>
      <w:r>
        <w:rPr>
          <w:rFonts w:ascii="Kalpurush" w:cs="Kalpurush" w:eastAsia="Kalpurush" w:hAnsi="Kalpurush"/>
          <w:b/>
          <w:bCs/>
          <w:sz w:val="20"/>
          <w:szCs w:val="20"/>
        </w:rPr>
        <w:t xml:space="preserve">প্রথমত — Registration Act, 1908:</w:t>
      </w:r>
      <w:r>
        <w:rPr>
          <w:rFonts w:ascii="Kalpurush" w:cs="Kalpurush" w:eastAsia="Kalpurush" w:hAnsi="Kalpurush"/>
          <w:sz w:val="20"/>
          <w:szCs w:val="20"/>
        </w:rPr>
        <w:t xml:space="preserve"> এক বছরের অধিক মেয়াদের স্থাবর সম্পত্তির পত্তন রেজিস্ট্রি বাধ্যতামূলক (ধারা ১৭)। রেজিস্ট্রি না হইলে সাক্ষ্য হিসেবে গ্রহণযোগ্য নহে (ধারা ৪৯)। বিবাদীরা কোনো রেজিস্ট্রিকৃত পত্তন দলিল দাখিল করেননি।</w:t>
      </w:r>
    </w:p>
    <w:p>
      <w:r>
        <w:rPr>
          <w:rFonts w:ascii="Kalpurush" w:cs="Kalpurush" w:eastAsia="Kalpurush" w:hAnsi="Kalpurush"/>
          <w:b/>
          <w:bCs/>
          <w:sz w:val="20"/>
          <w:szCs w:val="20"/>
        </w:rPr>
        <w:t xml:space="preserve">দ্বিতীয়ত — SAT Act, 1950-এর বিধানে স্বয়ংক্রিয় বিলুপ্তি:</w:t>
      </w:r>
      <w:r>
        <w:rPr>
          <w:rFonts w:ascii="Kalpurush" w:cs="Kalpurush" w:eastAsia="Kalpurush" w:hAnsi="Kalpurush"/>
          <w:sz w:val="20"/>
          <w:szCs w:val="20"/>
        </w:rPr>
        <w:t xml:space="preserve"> রাষ্ট্রীয় অধিগ্রহণের পর পূর্ববর্তী যেকোনো অনিবন্ধিত পত্তনভিত্তিক দাবি (যেমন কথিত উঠবন্দি প্রথা) আইনের বলেই বিলুপ্ত হইয়াছে।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r>
        <w:rPr>
          <w:rFonts w:ascii="Kalpurush" w:cs="Kalpurush" w:eastAsia="Kalpurush" w:hAnsi="Kalpurush"/>
          <w:i/>
          <w:iCs/>
          <w:sz w:val="20"/>
          <w:szCs w:val="20"/>
        </w:rPr>
        <w:t xml:space="preserve"> *"Irrespective of whatever title or right was acquired by virtue of the unregistered patta, it had extinguished as a result of State Acquisition."*</w:t>
      </w:r>
    </w:p>
    <w:p>
      <w:r>
        <w:rPr>
          <w:rFonts w:ascii="Kalpurush" w:cs="Kalpurush" w:eastAsia="Kalpurush" w:hAnsi="Kalpurush"/>
        </w:rPr>
        <w:t xml:space="preserve"/>
      </w:r>
    </w:p>
    <w:p>
      <w:r>
        <w:rPr>
          <w:rFonts w:ascii="Kalpurush" w:cs="Kalpurush" w:eastAsia="Kalpurush" w:hAnsi="Kalpurush"/>
          <w:b/>
          <w:bCs/>
          <w:sz w:val="20"/>
          <w:szCs w:val="20"/>
        </w:rPr>
        <w:t xml:space="preserve">কথিত Misc Case-এর মারাত্মক দুর্বলতা (দলিলাদির সম্পূর্ণ অনুপস্থিতি):</w:t>
      </w:r>
    </w:p>
    <w:p>
      <w:r>
        <w:rPr>
          <w:rFonts w:ascii="Kalpurush" w:cs="Kalpurush" w:eastAsia="Kalpurush" w:hAnsi="Kalpurush"/>
        </w:rPr>
        <w:t xml:space="preserve"/>
      </w:r>
    </w:p>
    <w:p>
      <w:r>
        <w:rPr>
          <w:rFonts w:ascii="Kalpurush" w:cs="Kalpurush" w:eastAsia="Kalpurush" w:hAnsi="Kalpurush"/>
          <w:sz w:val="20"/>
          <w:szCs w:val="20"/>
        </w:rPr>
        <w:t xml:space="preserve">বিবাদীরা Misc Case-এর অস্তিত্ব দাবি করিলেও সেই কার্যবিবরণী, আদেশ, রায় বা প্রত্যয়িত কপি আদালতে উপস্থাপন করেননি। যে Misc Case-এর উপর নির্ভর করিয়া একটি finally published State Record পরিবর্তনের দাবি করা হইতেছে, তাহার আদেশ বা certified copy না থাকায় আদালত আদৌ জানিতে পারিতেছেন না যে উহা title matter ছিল, correction matter ছিল, না অন্য কোনো প্রশাসনিক কার্যক্রম ছিল। </w:t>
      </w:r>
    </w:p>
    <w:p>
      <w:r>
        <w:rPr>
          <w:rFonts w:ascii="Kalpurush" w:cs="Kalpurush" w:eastAsia="Kalpurush" w:hAnsi="Kalpurush"/>
        </w:rPr>
        <w:t xml:space="preserve"/>
      </w:r>
    </w:p>
    <w:p>
      <w:r>
        <w:rPr>
          <w:rFonts w:ascii="Kalpurush" w:cs="Kalpurush" w:eastAsia="Kalpurush" w:hAnsi="Kalpurush"/>
          <w:sz w:val="20"/>
          <w:szCs w:val="20"/>
        </w:rPr>
        <w:t xml:space="preserve">অধিকন্তু, আইনের দৃষ্টিতে প্রশ্ন — Misc Case-এর মাধ্যমে কারো স্বত্ব নির্ধারণ করা যায় কি? </w:t>
      </w:r>
    </w:p>
    <w:p>
      <w:pPr>
        <w:pStyle w:val="ListParagraph"/>
        <w:numPr>
          <w:ilvl w:val="0"/>
          <w:numId w:val="1"/>
        </w:numPr>
      </w:pPr>
      <w:r>
        <w:rPr>
          <w:rFonts w:ascii="Kalpurush" w:cs="Kalpurush" w:eastAsia="Kalpurush" w:hAnsi="Kalpurush"/>
          <w:b/>
          <w:bCs/>
          <w:sz w:val="20"/>
          <w:szCs w:val="20"/>
        </w:rPr>
        <w:t xml:space="preserve">Specific Relief Act ধারা ৪২:</w:t>
      </w:r>
      <w:r>
        <w:rPr>
          <w:rFonts w:ascii="Kalpurush" w:cs="Kalpurush" w:eastAsia="Kalpurush" w:hAnsi="Kalpurush"/>
          <w:sz w:val="20"/>
          <w:szCs w:val="20"/>
        </w:rPr>
        <w:t xml:space="preserve"> title declaration কেবল পূর্ণাঙ্গ suit-এর মাধ্যমেই সম্ভব।</w:t>
      </w:r>
    </w:p>
    <w:p>
      <w:pPr>
        <w:pStyle w:val="ListParagraph"/>
        <w:numPr>
          <w:ilvl w:val="0"/>
          <w:numId w:val="1"/>
        </w:numPr>
      </w:pPr>
      <w:r>
        <w:rPr>
          <w:rFonts w:ascii="Kalpurush" w:cs="Kalpurush" w:eastAsia="Kalpurush" w:hAnsi="Kalpurush"/>
          <w:b/>
          <w:bCs/>
          <w:sz w:val="20"/>
          <w:szCs w:val="20"/>
        </w:rPr>
        <w:t xml:space="preserve">SAT Act ধারা ১৪৩/১৪৪:</w:t>
      </w:r>
      <w:r>
        <w:rPr>
          <w:rFonts w:ascii="Kalpurush" w:cs="Kalpurush" w:eastAsia="Kalpurush" w:hAnsi="Kalpurush"/>
          <w:sz w:val="20"/>
          <w:szCs w:val="20"/>
        </w:rPr>
        <w:t xml:space="preserve"> SA খতিয়ান সংশোধনের এখতিয়ার Revenue Officer ও Settlement Officer-এর। দেওয়ানি আদালতের Misc Case-এর মাধ্যমে State Record সংশোধন বা Title adjudicate করা যায়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27 BLD (HD) 544:</w:t>
      </w:r>
      <w:r>
        <w:rPr>
          <w:rFonts w:ascii="Kalpurush" w:cs="Kalpurush" w:eastAsia="Kalpurush" w:hAnsi="Kalpurush"/>
          <w:i/>
          <w:iCs/>
          <w:sz w:val="20"/>
          <w:szCs w:val="20"/>
        </w:rPr>
        <w:t xml:space="preserve"> *"Question of title cannot be decided in a miscellaneous proceeding. Declaration of title requires properly constituted suit."*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w:t>
      </w:r>
    </w:p>
    <w:p>
      <w:pPr>
        <w:pStyle w:val="Heading2"/>
      </w:pPr>
      <w:r>
        <w:rPr>
          <w:rFonts w:ascii="Kalpurush" w:cs="Kalpurush" w:eastAsia="Kalpurush" w:hAnsi="Kalpurush"/>
          <w:sz w:val="20"/>
          <w:szCs w:val="20"/>
        </w:rPr>
        <w:t xml:space="preserve">AC Land Volume Note কি মূল SA Record-কে পরাজিত করিতে পারে?</w:t>
      </w:r>
    </w:p>
    <w:p>
      <w:pPr>
        <w:pStyle w:val="Heading3"/>
      </w:pPr>
      <w:r>
        <w:rPr>
          <w:rFonts w:ascii="Kalpurush" w:cs="Kalpurush" w:eastAsia="Kalpurush" w:hAnsi="Kalpurush"/>
          <w:sz w:val="20"/>
          <w:szCs w:val="20"/>
        </w:rPr>
        <w:t xml:space="preserve">*(The Dependent Invalidity &amp; The Root and Fruit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আপীলের সবচেয়ে গুরুত্বপূর্ণ যৌক্তিক সংযোগটি এখানে।</w:t>
      </w:r>
    </w:p>
    <w:p>
      <w:r>
        <w:rPr>
          <w:rFonts w:ascii="Kalpurush" w:cs="Kalpurush" w:eastAsia="Kalpurush" w:hAnsi="Kalpurush"/>
        </w:rPr>
        <w:t xml:space="preserve"/>
      </w:r>
    </w:p>
    <w:p>
      <w:r>
        <w:rPr>
          <w:rFonts w:ascii="Kalpurush" w:cs="Kalpurush" w:eastAsia="Kalpurush" w:hAnsi="Kalpurush"/>
          <w:sz w:val="20"/>
          <w:szCs w:val="20"/>
        </w:rPr>
        <w:t xml:space="preserve">AC Land Volume Note কোনো স্বয়ংসম্পূর্ণ আইনি আদেশ নহে; ইহা একটি সাবসিডিয়ারি কার্যকরী নথি (subsidiary working copy) মাত্র। বিবাদীদের দাবি অনুযায়ী, এই Volume Note-টি ১৯৬৯ সালের Misc Case-এর আদেশের ভিত্তিতে লেখা হইয়াছিল। </w:t>
      </w:r>
    </w:p>
    <w:p>
      <w:r>
        <w:rPr>
          <w:rFonts w:ascii="Kalpurush" w:cs="Kalpurush" w:eastAsia="Kalpurush" w:hAnsi="Kalpurush"/>
        </w:rPr>
        <w:t xml:space="preserve"/>
      </w:r>
    </w:p>
    <w:p>
      <w:r>
        <w:rPr>
          <w:rFonts w:ascii="Kalpurush" w:cs="Kalpurush" w:eastAsia="Kalpurush" w:hAnsi="Kalpurush"/>
          <w:b/>
          <w:bCs/>
          <w:sz w:val="20"/>
          <w:szCs w:val="20"/>
        </w:rPr>
        <w:t xml:space="preserve">The Logical Flow of Invalidity (The Root and Fruit):</w:t>
      </w:r>
    </w:p>
    <w:p>
      <w:r>
        <w:rPr>
          <w:rFonts w:ascii="Kalpurush" w:cs="Kalpurush" w:eastAsia="Kalpurush" w:hAnsi="Kalpurush"/>
          <w:b/>
          <w:bCs/>
          <w:sz w:val="20"/>
          <w:szCs w:val="20"/>
        </w:rPr>
        <w:t xml:space="preserve">কথিত Misc Case যদি প্রমাণিত না হয়, তবে সেই Misc Case-এর ফলশ্রুতি হিসেবে দাবি করা Volume Note-ও স্বাধীনভাবে টিকিয়া থাকিতে পারে না। মূল আদেশ (Root) ব্যর্থ হলে তার উপর নির্ভরশীল নোটও (Fruit) ব্যর্থ হয়।</w:t>
      </w:r>
      <w:r>
        <w:rPr>
          <w:rFonts w:ascii="Kalpurush" w:cs="Kalpurush" w:eastAsia="Kalpurush" w:hAnsi="Kalpurush"/>
          <w:sz w:val="20"/>
          <w:szCs w:val="20"/>
        </w:rPr>
        <w:t xml:space="preserve"> Parent order বা মূল রায় প্রমাণ না করিয়া শুধুমাত্র subsidiary register-এর একটি margin note দিয়া Section 144A-এর statutory presumption খণ্ডন করা অসম্ভব।</w:t>
      </w:r>
    </w:p>
    <w:p>
      <w:r>
        <w:rPr>
          <w:rFonts w:ascii="Kalpurush" w:cs="Kalpurush" w:eastAsia="Kalpurush" w:hAnsi="Kalpurush"/>
        </w:rPr>
        <w:t xml:space="preserve"/>
      </w:r>
    </w:p>
    <w:p>
      <w:r>
        <w:rPr>
          <w:rFonts w:ascii="Kalpurush" w:cs="Kalpurush" w:eastAsia="Kalpurush" w:hAnsi="Kalpurush"/>
          <w:b/>
          <w:bCs/>
          <w:sz w:val="20"/>
          <w:szCs w:val="20"/>
        </w:rPr>
        <w:t xml:space="preserve">বৈধ mutation-এর জন্য যাহা যাহা লাগে — এর কোনোটিই নাই:</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ধাপ</w:t>
            </w:r>
          </w:p>
        </w:tc>
        <w:tc>
          <w:p>
            <w:r>
              <w:rPr>
                <w:rFonts w:ascii="Kalpurush" w:cs="Kalpurush" w:eastAsia="Kalpurush" w:hAnsi="Kalpurush"/>
                <w:sz w:val="20"/>
                <w:szCs w:val="20"/>
              </w:rPr>
              <w:t xml:space="preserve">এই মামলায় আছে কি?</w:t>
            </w:r>
          </w:p>
        </w:tc>
      </w:tr>
      <w:tr>
        <w:tc>
          <w:p>
            <w:r>
              <w:rPr>
                <w:rFonts w:ascii="Kalpurush" w:cs="Kalpurush" w:eastAsia="Kalpurush" w:hAnsi="Kalpurush"/>
                <w:sz w:val="20"/>
                <w:szCs w:val="20"/>
              </w:rPr>
              <w:t xml:space="preserve">আনুষ্ঠানিক mutation আবেদন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সুনির্দিষ্ট case নম্বর</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রেকর্ডকৃত মালিককে নোটিশ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Tahsildar-এর সরেজমিন তদন্ত</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AC Land-এর স্বাক্ষরিত আনুষ্ঠানিক আদেশ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District Record Room-এ সংশোধন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Register of Alterations-এ এন্ট্রি</w:t>
            </w:r>
          </w:p>
        </w:tc>
        <w:tc>
          <w:p>
            <w:r>
              <w:rPr>
                <w:rFonts w:ascii="Kalpurush" w:cs="Kalpurush" w:eastAsia="Kalpurush" w:hAnsi="Kalpurush"/>
                <w:sz w:val="20"/>
                <w:szCs w:val="20"/>
              </w:rPr>
              <w:t xml:space="preserve">না</w:t>
            </w:r>
          </w:p>
        </w:tc>
      </w:tr>
    </w:tbl>
    <w:p>
      <w:r>
        <w:rPr>
          <w:rFonts w:ascii="Kalpurush" w:cs="Kalpurush" w:eastAsia="Kalpurush" w:hAnsi="Kalpurush"/>
        </w:rPr>
        <w:t xml:space="preserve"/>
      </w:r>
    </w:p>
    <w:p>
      <w:r>
        <w:rPr>
          <w:rFonts w:ascii="Kalpurush" w:cs="Kalpurush" w:eastAsia="Kalpurush" w:hAnsi="Kalpurush"/>
          <w:sz w:val="20"/>
          <w:szCs w:val="20"/>
        </w:rPr>
        <w:t xml:space="preserve">এই সাতটি ধাপের একটিও পালিত হয়নি। AC Land-এর ভলিউমে যাহা আছে তাহা বৈধ mutation-এর ফলাফল নহে — ইহা একটি </w:t>
      </w:r>
      <w:r>
        <w:rPr>
          <w:rFonts w:ascii="Kalpurush" w:cs="Kalpurush" w:eastAsia="Kalpurush" w:hAnsi="Kalpurush"/>
          <w:b/>
          <w:bCs/>
          <w:sz w:val="20"/>
          <w:szCs w:val="20"/>
        </w:rPr>
        <w:t xml:space="preserve">case file নম্বরবিহীন, notice-বিহীন, order-বিহীন অনিয়মজাত মার্জিন নোট।</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r>
        <w:rPr>
          <w:rFonts w:ascii="Kalpurush" w:cs="Kalpurush" w:eastAsia="Kalpurush" w:hAnsi="Kalpurush"/>
          <w:i/>
          <w:iCs/>
          <w:sz w:val="20"/>
          <w:szCs w:val="20"/>
        </w:rPr>
        <w:t xml:space="preserve"> Volume note বা mutation-এর কোনো presumptive value নাই।</w:t>
      </w:r>
    </w:p>
    <w:p>
      <w:r>
        <w:rPr>
          <w:rFonts w:ascii="Kalpurush" w:cs="Kalpurush" w:eastAsia="Kalpurush" w:hAnsi="Kalpurush"/>
        </w:rPr>
        <w:t xml:space="preserve"/>
      </w:r>
    </w:p>
    <w:p>
      <w:r>
        <w:rPr>
          <w:rFonts w:ascii="Kalpurush" w:cs="Kalpurush" w:eastAsia="Kalpurush" w:hAnsi="Kalpurush"/>
          <w:b/>
          <w:bCs/>
          <w:sz w:val="20"/>
          <w:szCs w:val="20"/>
        </w:rPr>
        <w:t xml:space="preserve">এই আপীলের উত্তরহীন তিনটি প্রশ্ন (The Silence of the Record Room):</w:t>
      </w:r>
    </w:p>
    <w:p>
      <w:r>
        <w:rPr>
          <w:rFonts w:ascii="Kalpurush" w:cs="Kalpurush" w:eastAsia="Kalpurush" w:hAnsi="Kalpurush"/>
          <w:sz w:val="20"/>
          <w:szCs w:val="20"/>
        </w:rPr>
        <w:t xml:space="preserve">বিবাদীরা ১৯৬৯ সালে সংশোধন হইয়াছে বলিয়া দাবি করেন। তাহা হইলে —</w:t>
      </w:r>
    </w:p>
    <w:p>
      <w:r>
        <w:rPr>
          <w:rFonts w:ascii="Kalpurush" w:cs="Kalpurush" w:eastAsia="Kalpurush" w:hAnsi="Kalpurush"/>
          <w:sz w:val="20"/>
          <w:szCs w:val="20"/>
        </w:rPr>
        <w:t xml:space="preserve">১. Record Room-এর মূল SA খতিয়ান </w:t>
      </w:r>
      <w:r>
        <w:rPr>
          <w:rFonts w:ascii="Kalpurush" w:cs="Kalpurush" w:eastAsia="Kalpurush" w:hAnsi="Kalpurush"/>
          <w:b/>
          <w:bCs/>
          <w:sz w:val="20"/>
          <w:szCs w:val="20"/>
        </w:rPr>
        <w:t xml:space="preserve">আজও অপরিবর্তিত কেন?</w:t>
      </w:r>
    </w:p>
    <w:p>
      <w:r>
        <w:rPr>
          <w:rFonts w:ascii="Kalpurush" w:cs="Kalpurush" w:eastAsia="Kalpurush" w:hAnsi="Kalpurush"/>
          <w:sz w:val="20"/>
          <w:szCs w:val="20"/>
        </w:rPr>
        <w:t xml:space="preserve">২. Register of Alterations-এ </w:t>
      </w:r>
      <w:r>
        <w:rPr>
          <w:rFonts w:ascii="Kalpurush" w:cs="Kalpurush" w:eastAsia="Kalpurush" w:hAnsi="Kalpurush"/>
          <w:b/>
          <w:bCs/>
          <w:sz w:val="20"/>
          <w:szCs w:val="20"/>
        </w:rPr>
        <w:t xml:space="preserve">কোনো Entry নাই কেন?</w:t>
      </w:r>
    </w:p>
    <w:p>
      <w:r>
        <w:rPr>
          <w:rFonts w:ascii="Kalpurush" w:cs="Kalpurush" w:eastAsia="Kalpurush" w:hAnsi="Kalpurush"/>
          <w:sz w:val="20"/>
          <w:szCs w:val="20"/>
        </w:rPr>
        <w:t xml:space="preserve">৩. সংশোধিত খতিয়ানের </w:t>
      </w:r>
      <w:r>
        <w:rPr>
          <w:rFonts w:ascii="Kalpurush" w:cs="Kalpurush" w:eastAsia="Kalpurush" w:hAnsi="Kalpurush"/>
          <w:b/>
          <w:bCs/>
          <w:sz w:val="20"/>
          <w:szCs w:val="20"/>
        </w:rPr>
        <w:t xml:space="preserve">Certified Copy কোথায়?</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 বৈধ আইনি সংশোধন সংঘটিত হইয়া থাকিত, তবে সেই সংশোধনের সর্বপ্রথম প্রতিফলন ঘটিত District Record Room-এর মূল SA খতিয়ানে। অথচ আজও মূল খতিয়ান অপরিবর্তিত। Authoritative Record-এর নীরবতা একটি AC Land Working Copy-র কালির নোট অপেক্ষা বহুগুণ অধিক বিশ্বাসযোগ্য।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5</w:t>
      </w:r>
    </w:p>
    <w:p>
      <w:pPr>
        <w:pStyle w:val="Heading2"/>
      </w:pPr>
      <w:r>
        <w:rPr>
          <w:rFonts w:ascii="Kalpurush" w:cs="Kalpurush" w:eastAsia="Kalpurush" w:hAnsi="Kalpurush"/>
          <w:sz w:val="20"/>
          <w:szCs w:val="20"/>
        </w:rPr>
        <w:t xml:space="preserve">ট্রায়াল কোর্টের Evidentiary Standard Error এবং অবরুদ্ধ ওয়ারিশ</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বিবাদীপক্ষের দাবিটি কোনো নাম বানানের ভুল বা দাগ নম্বরের গাণিতিক ভুল সংশোধন নহে। তাহারা দাবি করিতেছেন যে একটি চূড়ান্তভাবে প্রকাশিত রাষ্ট্র-স্বীকৃত SA খতিয়ানে লিপিবদ্ধ একজন ব্যক্তির সম্পূর্ণ স্বত্ব কাটিয়া অন্যজনকে দেওয়া হইয়াছে। এটি title-এর সরাসরি প্রতিদ্বন্দ্বী পরিবর্তন (adversarial title displacement) — যাহার জন্য আইন সর্বোচ্চ মানের প্রমাণ (strict evidentiary standard) দাবি করে।</w:t>
      </w:r>
    </w:p>
    <w:p>
      <w:r>
        <w:rPr>
          <w:rFonts w:ascii="Kalpurush" w:cs="Kalpurush" w:eastAsia="Kalpurush" w:hAnsi="Kalpurush"/>
        </w:rPr>
        <w:t xml:space="preserve"/>
      </w:r>
    </w:p>
    <w:p>
      <w:r>
        <w:rPr>
          <w:rFonts w:ascii="Kalpurush" w:cs="Kalpurush" w:eastAsia="Kalpurush" w:hAnsi="Kalpurush"/>
          <w:sz w:val="20"/>
          <w:szCs w:val="20"/>
        </w:rPr>
        <w:t xml:space="preserve">কিন্তু ট্রায়াল কোর্ট একটি অপ্রমাণিত Misc Case এবং একটি parent-file বিহীন volume note-এর উপর ভিত্তি করিয়া এই সর্বোচ্চ মাত্রার দাবিকে গ্রহণ করিয়াছেন। আপীল্যান্ট বাদীপক্ষ এবং সোলেনামাকারী ১নং রেসপন্ডেন্ট সোলায়মান হোসেন — উভয়েই আব্দুল আলীর বৈধ উত্তরাধিকারী এবং উভয়েই বাটোয়ারায় সম্মত। একটি তৃতীয় পক্ষের ভিত্তিহীন দাবির কারণে প্রকৃত ওয়ারিশদের বন্টন আটকাইয়া রাখার কোনো আইনগত যৌক্তিকতা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বেঞ্চ):</w:t>
      </w:r>
      <w:r>
        <w:rPr>
          <w:rFonts w:ascii="Kalpurush" w:cs="Kalpurush" w:eastAsia="Kalpurush" w:hAnsi="Kalpurush"/>
          <w:i/>
          <w:iCs/>
          <w:sz w:val="20"/>
          <w:szCs w:val="20"/>
        </w:rPr>
        <w:t xml:space="preserve"> বিবাদীদের দ্বারা procure করা SA record entry প্রতিষ্ঠিত title override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6</w:t>
      </w:r>
    </w:p>
    <w:p>
      <w:pPr>
        <w:pStyle w:val="Heading2"/>
      </w:pPr>
      <w:r>
        <w:rPr>
          <w:rFonts w:ascii="Kalpurush" w:cs="Kalpurush" w:eastAsia="Kalpurush" w:hAnsi="Kalpurush"/>
          <w:sz w:val="20"/>
          <w:szCs w:val="20"/>
        </w:rPr>
        <w:t xml:space="preserve">Partition Suit কি কেবল বিবাদীদের আপত্তির কারণে ব্যর্থ হইতে পারে?</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sz w:val="20"/>
          <w:szCs w:val="20"/>
        </w:rPr>
        <w:t xml:space="preserve">বিবাদীরা — saham চাননি, allotment চাননি, share calculation দেননি। তাহাদের একমাত্র প্রার্থনা — মামলা খারিজ। উদ্দেশ্য বন্টন নহে, </w:t>
      </w:r>
      <w:r>
        <w:rPr>
          <w:rFonts w:ascii="Kalpurush" w:cs="Kalpurush" w:eastAsia="Kalpurush" w:hAnsi="Kalpurush"/>
          <w:b/>
          <w:bCs/>
          <w:sz w:val="20"/>
          <w:szCs w:val="20"/>
        </w:rPr>
        <w:t xml:space="preserve">বন্টন বন্ধ রাখা।</w:t>
      </w:r>
    </w:p>
    <w:p>
      <w:r>
        <w:rPr>
          <w:rFonts w:ascii="Kalpurush" w:cs="Kalpurush" w:eastAsia="Kalpurush" w:hAnsi="Kalpurush"/>
        </w:rPr>
        <w:t xml:space="preserve"/>
      </w:r>
    </w:p>
    <w:p>
      <w:r>
        <w:rPr>
          <w:rFonts w:ascii="Kalpurush" w:cs="Kalpurush" w:eastAsia="Kalpurush" w:hAnsi="Kalpurush"/>
          <w:sz w:val="20"/>
          <w:szCs w:val="20"/>
        </w:rPr>
        <w:t xml:space="preserve">ট্রায়াল কোর্ট নিজেই বলিয়াছেন: </w:t>
      </w:r>
      <w:r>
        <w:rPr>
          <w:rFonts w:ascii="Kalpurush" w:cs="Kalpurush" w:eastAsia="Kalpurush" w:hAnsi="Kalpurush"/>
          <w:b/>
          <w:bCs/>
          <w:sz w:val="20"/>
          <w:szCs w:val="20"/>
        </w:rPr>
        <w:t xml:space="preserve">"অত্রাকারে ও প্রকারে মামলা চলিতে আইনগত কোনো বাধা নাই।"</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Hotchpot ও Non-joinder সম্পর্কে:</w:t>
      </w:r>
      <w:r>
        <w:rPr>
          <w:rFonts w:ascii="Kalpurush" w:cs="Kalpurush" w:eastAsia="Kalpurush" w:hAnsi="Kalpurush"/>
          <w:sz w:val="20"/>
          <w:szCs w:val="20"/>
        </w:rPr>
        <w:t xml:space="preserve"> পৃথক খতিয়ানে একই দাগ থাকিলে সমগ্র দাগ hotchpot-এ আনা বাধ্যতামূলক নহে (27 BLD 229)। সরকারি জমি আনিলে বরঞ্চ মামলাই চলিত না। এই ব্যক্তিগত বাটোয়ারা মামলায় সরকার কোনো necessary party নহে।</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r>
        <w:rPr>
          <w:rFonts w:ascii="Kalpurush" w:cs="Kalpurush" w:eastAsia="Kalpurush" w:hAnsi="Kalpurush"/>
          <w:i/>
          <w:iCs/>
          <w:sz w:val="20"/>
          <w:szCs w:val="20"/>
        </w:rPr>
        <w:t xml:space="preserve"> সরকার প্রাইভেট বাটোয়ারায় necessary party নহে।</w:t>
      </w:r>
    </w:p>
    <w:p>
      <w:pPr>
        <w:ind w:left="720"/>
      </w:pPr>
      <w:r>
        <w:rPr>
          <w:rFonts w:ascii="Kalpurush" w:cs="Kalpurush" w:eastAsia="Kalpurush" w:hAnsi="Kalpurush"/>
          <w:b/>
          <w:bCs/>
          <w:i/>
          <w:iCs/>
          <w:sz w:val="20"/>
          <w:szCs w:val="20"/>
        </w:rPr>
        <w:t xml:space="preserve">Syed Nurul Huda vs. Govt. of Bangladesh, 8 SCOB (2016) HCD 1:</w:t>
      </w:r>
      <w:r>
        <w:rPr>
          <w:rFonts w:ascii="Kalpurush" w:cs="Kalpurush" w:eastAsia="Kalpurush" w:hAnsi="Kalpurush"/>
          <w:i/>
          <w:iCs/>
          <w:sz w:val="20"/>
          <w:szCs w:val="20"/>
        </w:rPr>
        <w:t xml:space="preserve"> Non-joinder-এ মামলা পরাজিত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7</w:t>
      </w:r>
    </w:p>
    <w:p>
      <w:pPr>
        <w:pStyle w:val="Heading2"/>
      </w:pPr>
      <w:r>
        <w:rPr>
          <w:rFonts w:ascii="Kalpurush" w:cs="Kalpurush" w:eastAsia="Kalpurush" w:hAnsi="Kalpurush"/>
          <w:sz w:val="20"/>
          <w:szCs w:val="20"/>
        </w:rPr>
        <w:t xml:space="preserve">বিবাদীদের নিজের ১৯৭৫ সালের দলিল কি তাহাদের Volume Note তত্ত্বকে ধ্বংস করে না?</w:t>
      </w:r>
    </w:p>
    <w:p>
      <w:pPr>
        <w:pStyle w:val="Heading3"/>
      </w:pPr>
      <w:r>
        <w:rPr>
          <w:rFonts w:ascii="Kalpurush" w:cs="Kalpurush" w:eastAsia="Kalpurush" w:hAnsi="Kalpurush"/>
          <w:sz w:val="20"/>
          <w:szCs w:val="20"/>
        </w:rPr>
        <w:t xml:space="preserve">*(The Title-Destroying Admission)*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বিবাদীদের বর্তমান মামলা মূলত AC Land Volume Note-এর উপর প্রতিষ্ঠিত। বিবাদীরা দাবি করেন, SA ২৩৮ নং খতিয়ানে শুধুমাত্র </w:t>
      </w:r>
      <w:r>
        <w:rPr>
          <w:rFonts w:ascii="Kalpurush" w:cs="Kalpurush" w:eastAsia="Kalpurush" w:hAnsi="Kalpurush"/>
          <w:b/>
          <w:bCs/>
          <w:sz w:val="20"/>
          <w:szCs w:val="20"/>
        </w:rPr>
        <w:t xml:space="preserve">একটি দাগ</w:t>
      </w:r>
      <w:r>
        <w:rPr>
          <w:rFonts w:ascii="Kalpurush" w:cs="Kalpurush" w:eastAsia="Kalpurush" w:hAnsi="Kalpurush"/>
          <w:sz w:val="20"/>
          <w:szCs w:val="20"/>
        </w:rPr>
        <w:t xml:space="preserve"> (১২৫৯ দাগ) রহিয়াছে। </w:t>
      </w:r>
    </w:p>
    <w:p>
      <w:r>
        <w:rPr>
          <w:rFonts w:ascii="Kalpurush" w:cs="Kalpurush" w:eastAsia="Kalpurush" w:hAnsi="Kalpurush"/>
        </w:rPr>
        <w:t xml:space="preserve"/>
      </w:r>
    </w:p>
    <w:p>
      <w:r>
        <w:rPr>
          <w:rFonts w:ascii="Kalpurush" w:cs="Kalpurush" w:eastAsia="Kalpurush" w:hAnsi="Kalpurush"/>
          <w:sz w:val="20"/>
          <w:szCs w:val="20"/>
        </w:rPr>
        <w:t xml:space="preserve">কিন্তু মাত্র ৬ বছর পরে, বিবাদীদের নিজেদের </w:t>
      </w:r>
      <w:r>
        <w:rPr>
          <w:rFonts w:ascii="Kalpurush" w:cs="Kalpurush" w:eastAsia="Kalpurush" w:hAnsi="Kalpurush"/>
          <w:b/>
          <w:bCs/>
          <w:sz w:val="20"/>
          <w:szCs w:val="20"/>
        </w:rPr>
        <w:t xml:space="preserve">৩৫৯৬/১৯৭৫ নং দলিলের</w:t>
      </w:r>
      <w:r>
        <w:rPr>
          <w:rFonts w:ascii="Kalpurush" w:cs="Kalpurush" w:eastAsia="Kalpurush" w:hAnsi="Kalpurush"/>
          <w:sz w:val="20"/>
          <w:szCs w:val="20"/>
        </w:rPr>
        <w:t xml:space="preserve"> তফসিল বর্ণনায় SA ২৩৮ খতিয়ানের অধীনে ১টি নহে, বরং </w:t>
      </w:r>
      <w:r>
        <w:rPr>
          <w:rFonts w:ascii="Kalpurush" w:cs="Kalpurush" w:eastAsia="Kalpurush" w:hAnsi="Kalpurush"/>
          <w:b/>
          <w:bCs/>
          <w:sz w:val="20"/>
          <w:szCs w:val="20"/>
        </w:rPr>
        <w:t xml:space="preserve">৬টি দাগের</w:t>
      </w:r>
      <w:r>
        <w:rPr>
          <w:rFonts w:ascii="Kalpurush" w:cs="Kalpurush" w:eastAsia="Kalpurush" w:hAnsi="Kalpurush"/>
          <w:sz w:val="20"/>
          <w:szCs w:val="20"/>
        </w:rPr>
        <w:t xml:space="preserve"> জমির উল্লেখ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অবস্থান</w:t>
            </w:r>
          </w:p>
        </w:tc>
        <w:tc>
          <w:p>
            <w:r>
              <w:rPr>
                <w:rFonts w:ascii="Kalpurush" w:cs="Kalpurush" w:eastAsia="Kalpurush" w:hAnsi="Kalpurush"/>
                <w:sz w:val="20"/>
                <w:szCs w:val="20"/>
              </w:rPr>
              <w:t xml:space="preserve">১৯৭৫ সালে নিজেদের দলিলের অবস্থান</w:t>
            </w:r>
          </w:p>
        </w:tc>
      </w:tr>
      <w:tr>
        <w:tc>
          <w:p>
            <w:r>
              <w:rPr>
                <w:rFonts w:ascii="Kalpurush" w:cs="Kalpurush" w:eastAsia="Kalpurush" w:hAnsi="Kalpurush"/>
                <w:sz w:val="20"/>
                <w:szCs w:val="20"/>
              </w:rPr>
              <w:t xml:space="preserve">Volume Note অনুযায়ী SA ২৩৮-এ দাগ মাত্র </w:t>
            </w:r>
            <w:r>
              <w:rPr>
                <w:rFonts w:ascii="Kalpurush" w:cs="Kalpurush" w:eastAsia="Kalpurush" w:hAnsi="Kalpurush"/>
                <w:b/>
                <w:bCs/>
                <w:sz w:val="20"/>
                <w:szCs w:val="20"/>
              </w:rPr>
              <w:t xml:space="preserve">১টি</w:t>
            </w:r>
          </w:p>
        </w:tc>
        <w:tc>
          <w:p>
            <w:r>
              <w:rPr>
                <w:rFonts w:ascii="Kalpurush" w:cs="Kalpurush" w:eastAsia="Kalpurush" w:hAnsi="Kalpurush"/>
                <w:sz w:val="20"/>
                <w:szCs w:val="20"/>
              </w:rPr>
              <w:t xml:space="preserve">নিজেদের দলিলেই SA ২৩৮ খতিয়ানে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bl>
    <w:p>
      <w:r>
        <w:rPr>
          <w:rFonts w:ascii="Kalpurush" w:cs="Kalpurush" w:eastAsia="Kalpurush" w:hAnsi="Kalpurush"/>
        </w:rPr>
        <w:t xml:space="preserve"/>
      </w:r>
    </w:p>
    <w:p>
      <w:r>
        <w:rPr>
          <w:rFonts w:ascii="Kalpurush" w:cs="Kalpurush" w:eastAsia="Kalpurush" w:hAnsi="Kalpurush"/>
          <w:sz w:val="20"/>
          <w:szCs w:val="20"/>
        </w:rPr>
        <w:t xml:space="preserve">যদি ১৯৬৯ সালের সংশোধন প্রকৃতপক্ষে কার্যকর হইয়া থাকে, তবে ১৯৭৫ সালের দলিলে সেই সংশোধিত অবস্থাই (১ দাগ) প্রতিফলিত হওয়ার কথা। কিন্তু দলিলটি উল্টো মূল SA কাঠামোকেই (৬ দাগ) অনুসরণ করিয়াছে। এটি প্রমাণ করে যে বিবাদীরা নিজেরাও ১৯৬৯ সালের কথিত সংশোধনকে বাস্তবে কার্যকর বলিয়া বিশ্বাস করেননি।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114(গ):</w:t>
      </w:r>
      <w:r>
        <w:rPr>
          <w:rFonts w:ascii="Kalpurush" w:cs="Kalpurush" w:eastAsia="Kalpurush" w:hAnsi="Kalpurush"/>
          <w:i/>
          <w:iCs/>
          <w:sz w:val="20"/>
          <w:szCs w:val="20"/>
        </w:rPr>
        <w:t xml:space="preserve"> যে পক্ষ নিজস্ব দলিলের অসামঞ্জস্য ব্যাখ্যা করিতে ব্যর্থ হয়, আদালত সেই ব্যর্থতাকে তাহাদের বিপক্ষে বিবেচনা করিবেন।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rPr>
        <w:t xml:space="preserve"/>
      </w:r>
    </w:p>
    <w:p>
      <w:r>
        <w:rPr>
          <w:rFonts w:ascii="Kalpurush" w:cs="Kalpurush" w:eastAsia="Kalpurush" w:hAnsi="Kalpurush"/>
          <w:sz w:val="20"/>
          <w:szCs w:val="20"/>
        </w:rPr>
        <w:t xml:space="preserve">এই আপীলে আদালতের সামনে প্রকৃত প্রশ্ন আব্দুল আলী না আব্দুল করিম নহে। প্রকৃত প্রশ্ন হইল—একটি চূড়ান্তভাবে প্রকাশিত ও আজও অপরিবর্তিত State Record কি একটি অপ্রমাণিত Misc Case এবং parent-order বিহীন volume note দ্বারা পরাজিত হইতে পারে? আইন ও প্রমাণ উভয়ের উত্তর—না।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প্রার্থনা</w:t>
      </w:r>
    </w:p>
    <w:p>
      <w:r>
        <w:rPr>
          <w:rFonts w:ascii="Kalpurush" w:cs="Kalpurush" w:eastAsia="Kalpurush" w:hAnsi="Kalpurush"/>
        </w:rPr>
        <w:t xml:space="preserve"/>
      </w:r>
    </w:p>
    <w:p>
      <w:r>
        <w:rPr>
          <w:rFonts w:ascii="Kalpurush" w:cs="Kalpurush" w:eastAsia="Kalpurush" w:hAnsi="Kalpurush"/>
          <w:b/>
          <w:bCs/>
          <w:sz w:val="20"/>
          <w:szCs w:val="20"/>
        </w:rPr>
        <w:t xml:space="preserve">অতএব, মহামান্য আদালতের নিকট বিনীত প্রার্থনা এই যে:</w:t>
      </w:r>
    </w:p>
    <w:p>
      <w:r>
        <w:rPr>
          <w:rFonts w:ascii="Kalpurush" w:cs="Kalpurush" w:eastAsia="Kalpurush" w:hAnsi="Kalpurush"/>
        </w:rPr>
        <w:t xml:space="preserve"/>
      </w:r>
    </w:p>
    <w:p>
      <w:r>
        <w:rPr>
          <w:rFonts w:ascii="Kalpurush" w:cs="Kalpurush" w:eastAsia="Kalpurush" w:hAnsi="Kalpurush"/>
          <w:b/>
          <w:bCs/>
          <w:sz w:val="20"/>
          <w:szCs w:val="20"/>
        </w:rPr>
        <w:t xml:space="preserve">১.</w:t>
      </w:r>
      <w:r>
        <w:rPr>
          <w:rFonts w:ascii="Kalpurush" w:cs="Kalpurush" w:eastAsia="Kalpurush" w:hAnsi="Kalpurush"/>
          <w:sz w:val="20"/>
          <w:szCs w:val="20"/>
        </w:rPr>
        <w:t xml:space="preserve"> সখিপুর সিভিল জজ আদালতের ০৫/০৪/২০২৬ তারিখের রায় ও ০৯/০৪/২০২৬ তারিখের ডিক্রি </w:t>
      </w:r>
      <w:r>
        <w:rPr>
          <w:rFonts w:ascii="Kalpurush" w:cs="Kalpurush" w:eastAsia="Kalpurush" w:hAnsi="Kalpurush"/>
          <w:b/>
          <w:bCs/>
          <w:sz w:val="20"/>
          <w:szCs w:val="20"/>
        </w:rPr>
        <w:t xml:space="preserve">বাতিল</w:t>
      </w:r>
      <w:r>
        <w:rPr>
          <w:rFonts w:ascii="Kalpurush" w:cs="Kalpurush" w:eastAsia="Kalpurush" w:hAnsi="Kalpurush"/>
          <w:sz w:val="20"/>
          <w:szCs w:val="20"/>
        </w:rPr>
        <w:t xml:space="preserve"> করা হোক।</w:t>
      </w:r>
    </w:p>
    <w:p>
      <w:r>
        <w:rPr>
          <w:rFonts w:ascii="Kalpurush" w:cs="Kalpurush" w:eastAsia="Kalpurush" w:hAnsi="Kalpurush"/>
        </w:rPr>
        <w:t xml:space="preserve"/>
      </w:r>
    </w:p>
    <w:p>
      <w:r>
        <w:rPr>
          <w:rFonts w:ascii="Kalpurush" w:cs="Kalpurush" w:eastAsia="Kalpurush" w:hAnsi="Kalpurush"/>
          <w:b/>
          <w:bCs/>
          <w:sz w:val="20"/>
          <w:szCs w:val="20"/>
        </w:rPr>
        <w:t xml:space="preserve">২.</w:t>
      </w:r>
      <w:r>
        <w:rPr>
          <w:rFonts w:ascii="Kalpurush" w:cs="Kalpurush" w:eastAsia="Kalpurush" w:hAnsi="Kalpurush"/>
          <w:sz w:val="20"/>
          <w:szCs w:val="20"/>
        </w:rPr>
        <w:t xml:space="preserve"> আপীলটি </w:t>
      </w:r>
      <w:r>
        <w:rPr>
          <w:rFonts w:ascii="Kalpurush" w:cs="Kalpurush" w:eastAsia="Kalpurush" w:hAnsi="Kalpurush"/>
          <w:b/>
          <w:bCs/>
          <w:sz w:val="20"/>
          <w:szCs w:val="20"/>
        </w:rPr>
        <w:t xml:space="preserve">মঞ্জুর</w:t>
      </w:r>
      <w:r>
        <w:rPr>
          <w:rFonts w:ascii="Kalpurush" w:cs="Kalpurush" w:eastAsia="Kalpurush" w:hAnsi="Kalpurush"/>
          <w:sz w:val="20"/>
          <w:szCs w:val="20"/>
        </w:rPr>
        <w:t xml:space="preserve"> করা হোক।</w:t>
      </w:r>
    </w:p>
    <w:p>
      <w:r>
        <w:rPr>
          <w:rFonts w:ascii="Kalpurush" w:cs="Kalpurush" w:eastAsia="Kalpurush" w:hAnsi="Kalpurush"/>
        </w:rPr>
        <w:t xml:space="preserve"/>
      </w:r>
    </w:p>
    <w:p>
      <w:r>
        <w:rPr>
          <w:rFonts w:ascii="Kalpurush" w:cs="Kalpurush" w:eastAsia="Kalpurush" w:hAnsi="Kalpurush"/>
          <w:b/>
          <w:bCs/>
          <w:sz w:val="20"/>
          <w:szCs w:val="20"/>
        </w:rPr>
        <w:t xml:space="preserve">৩.</w:t>
      </w:r>
      <w:r>
        <w:rPr>
          <w:rFonts w:ascii="Kalpurush" w:cs="Kalpurush" w:eastAsia="Kalpurush" w:hAnsi="Kalpurush"/>
          <w:sz w:val="20"/>
          <w:szCs w:val="20"/>
        </w:rPr>
        <w:t xml:space="preserve"> এস.এ. ২৩৮ নং খতিয়ানের একক রায়ত আব্দুল আলীর প্রমাণিত সম্পত্তিতে আপীল্যান্ট/বাদীপক্ষ ও ১নং রেসপন্ডেন্ট/বিবাদীর অনুকূলে তাহাদের স্ব স্ব আইনানুগ হিস্যা অনুযায়ী </w:t>
      </w:r>
      <w:r>
        <w:rPr>
          <w:rFonts w:ascii="Kalpurush" w:cs="Kalpurush" w:eastAsia="Kalpurush" w:hAnsi="Kalpurush"/>
          <w:b/>
          <w:bCs/>
          <w:sz w:val="20"/>
          <w:szCs w:val="20"/>
        </w:rPr>
        <w:t xml:space="preserve">বাটোয়ারার প্রাথমিক ডিক্রি (Preliminary Decree)</w:t>
      </w:r>
      <w:r>
        <w:rPr>
          <w:rFonts w:ascii="Kalpurush" w:cs="Kalpurush" w:eastAsia="Kalpurush" w:hAnsi="Kalpurush"/>
          <w:sz w:val="20"/>
          <w:szCs w:val="20"/>
        </w:rPr>
        <w:t xml:space="preserve"> প্রদান করা হোক।</w:t>
      </w:r>
    </w:p>
    <w:p>
      <w:r>
        <w:rPr>
          <w:rFonts w:ascii="Kalpurush" w:cs="Kalpurush" w:eastAsia="Kalpurush" w:hAnsi="Kalpurush"/>
        </w:rPr>
        <w:t xml:space="preserve"/>
      </w:r>
    </w:p>
    <w:p>
      <w:r>
        <w:rPr>
          <w:rFonts w:ascii="Kalpurush" w:cs="Kalpurush" w:eastAsia="Kalpurush" w:hAnsi="Kalpurush"/>
          <w:b/>
          <w:bCs/>
          <w:sz w:val="20"/>
          <w:szCs w:val="20"/>
        </w:rPr>
        <w:t xml:space="preserve">৪.</w:t>
      </w:r>
      <w:r>
        <w:rPr>
          <w:rFonts w:ascii="Kalpurush" w:cs="Kalpurush" w:eastAsia="Kalpurush" w:hAnsi="Kalpurush"/>
          <w:sz w:val="20"/>
          <w:szCs w:val="20"/>
        </w:rPr>
        <w:t xml:space="preserve"> মামলার সমস্ত খরচ বিবাদীপক্ষকে বহনের আদেশ দেওয়া হোক।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নজির তালিকা — অগ্রাধিকার অনুযায়ী</w:t>
      </w:r>
    </w:p>
    <w:p>
      <w:r>
        <w:rPr>
          <w:rFonts w:ascii="Kalpurush" w:cs="Kalpurush" w:eastAsia="Kalpurush" w:hAnsi="Kalpurush"/>
        </w:rPr>
        <w:t xml:space="preserve"/>
      </w:r>
    </w:p>
    <w:p>
      <w:r>
        <w:rPr>
          <w:rFonts w:ascii="Kalpurush" w:cs="Kalpurush" w:eastAsia="Kalpurush" w:hAnsi="Kalpurush"/>
          <w:b/>
          <w:bCs/>
          <w:sz w:val="20"/>
          <w:szCs w:val="20"/>
        </w:rPr>
        <w:t xml:space="preserve">মূল নজির (শুনানিতে সর্বোচ্চ অগ্রাধিকার — সকলই verified):</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w:t>
            </w:r>
          </w:p>
        </w:tc>
        <w:tc>
          <w:p>
            <w:r>
              <w:rPr>
                <w:rFonts w:ascii="Kalpurush" w:cs="Kalpurush" w:eastAsia="Kalpurush" w:hAnsi="Kalpurush"/>
                <w:sz w:val="20"/>
                <w:szCs w:val="20"/>
              </w:rPr>
              <w:t xml:space="preserve">50 DLR 186</w:t>
            </w:r>
          </w:p>
        </w:tc>
        <w:tc>
          <w:p>
            <w:r>
              <w:rPr>
                <w:rFonts w:ascii="Kalpurush" w:cs="Kalpurush" w:eastAsia="Kalpurush" w:hAnsi="Kalpurush"/>
                <w:sz w:val="20"/>
                <w:szCs w:val="20"/>
              </w:rPr>
              <w:t xml:space="preserve">SA খতিয়ানের statutory presumption under Sec 144A</w:t>
            </w:r>
          </w:p>
        </w:tc>
      </w:tr>
      <w:tr>
        <w:tc>
          <w:p>
            <w:r>
              <w:rPr>
                <w:rFonts w:ascii="Kalpurush" w:cs="Kalpurush" w:eastAsia="Kalpurush" w:hAnsi="Kalpurush"/>
                <w:sz w:val="20"/>
                <w:szCs w:val="20"/>
              </w:rPr>
              <w:t xml:space="preserve">২</w:t>
            </w:r>
          </w:p>
        </w:tc>
        <w:tc>
          <w:p>
            <w:r>
              <w:rPr>
                <w:rFonts w:ascii="Kalpurush" w:cs="Kalpurush" w:eastAsia="Kalpurush" w:hAnsi="Kalpurush"/>
                <w:sz w:val="20"/>
                <w:szCs w:val="20"/>
              </w:rPr>
              <w:t xml:space="preserve">5 SCOB (2015) AD 89</w:t>
            </w:r>
          </w:p>
        </w:tc>
        <w:tc>
          <w:p>
            <w:r>
              <w:rPr>
                <w:rFonts w:ascii="Kalpurush" w:cs="Kalpurush" w:eastAsia="Kalpurush" w:hAnsi="Kalpurush"/>
                <w:sz w:val="20"/>
                <w:szCs w:val="20"/>
              </w:rPr>
              <w:t xml:space="preserve">SA খতিয়ানের statutory presumption</w:t>
            </w:r>
          </w:p>
        </w:tc>
      </w:tr>
      <w:tr>
        <w:tc>
          <w:p>
            <w:r>
              <w:rPr>
                <w:rFonts w:ascii="Kalpurush" w:cs="Kalpurush" w:eastAsia="Kalpurush" w:hAnsi="Kalpurush"/>
                <w:sz w:val="20"/>
                <w:szCs w:val="20"/>
              </w:rPr>
              <w:t xml:space="preserve">৩</w:t>
            </w:r>
          </w:p>
        </w:tc>
        <w:tc>
          <w:p>
            <w:r>
              <w:rPr>
                <w:rFonts w:ascii="Kalpurush" w:cs="Kalpurush" w:eastAsia="Kalpurush" w:hAnsi="Kalpurush"/>
                <w:sz w:val="20"/>
                <w:szCs w:val="20"/>
              </w:rPr>
              <w:t xml:space="preserve">27 BLD (HD) 544</w:t>
            </w:r>
          </w:p>
        </w:tc>
        <w:tc>
          <w:p>
            <w:r>
              <w:rPr>
                <w:rFonts w:ascii="Kalpurush" w:cs="Kalpurush" w:eastAsia="Kalpurush" w:hAnsi="Kalpurush"/>
                <w:sz w:val="20"/>
                <w:szCs w:val="20"/>
              </w:rPr>
              <w:t xml:space="preserve">Misc Case-এ title adjudication সম্ভব নহে</w:t>
            </w:r>
          </w:p>
        </w:tc>
      </w:tr>
      <w:tr>
        <w:tc>
          <w:p>
            <w:r>
              <w:rPr>
                <w:rFonts w:ascii="Kalpurush" w:cs="Kalpurush" w:eastAsia="Kalpurush" w:hAnsi="Kalpurush"/>
                <w:sz w:val="20"/>
                <w:szCs w:val="20"/>
              </w:rPr>
              <w:t xml:space="preserve">৪</w:t>
            </w:r>
          </w:p>
        </w:tc>
        <w:tc>
          <w:p>
            <w:r>
              <w:rPr>
                <w:rFonts w:ascii="Kalpurush" w:cs="Kalpurush" w:eastAsia="Kalpurush" w:hAnsi="Kalpurush"/>
                <w:sz w:val="20"/>
                <w:szCs w:val="20"/>
              </w:rPr>
              <w:t xml:space="preserve">53 DLR 19</w:t>
            </w:r>
          </w:p>
        </w:tc>
        <w:tc>
          <w:p>
            <w:r>
              <w:rPr>
                <w:rFonts w:ascii="Kalpurush" w:cs="Kalpurush" w:eastAsia="Kalpurush" w:hAnsi="Kalpurush"/>
                <w:sz w:val="20"/>
                <w:szCs w:val="20"/>
              </w:rPr>
              <w:t xml:space="preserve">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sz w:val="20"/>
                <w:szCs w:val="20"/>
              </w:rPr>
              <w:t xml:space="preserve">7 SCOB [2016] HCD 135</w:t>
            </w:r>
          </w:p>
        </w:tc>
        <w:tc>
          <w:p>
            <w:r>
              <w:rPr>
                <w:rFonts w:ascii="Kalpurush" w:cs="Kalpurush" w:eastAsia="Kalpurush" w:hAnsi="Kalpurush"/>
                <w:sz w:val="20"/>
                <w:szCs w:val="20"/>
              </w:rPr>
              <w:t xml:space="preserve">Notice ছাড়া SA সংশোধন void</w:t>
            </w:r>
          </w:p>
        </w:tc>
      </w:tr>
      <w:tr>
        <w:tc>
          <w:p>
            <w:r>
              <w:rPr>
                <w:rFonts w:ascii="Kalpurush" w:cs="Kalpurush" w:eastAsia="Kalpurush" w:hAnsi="Kalpurush"/>
                <w:sz w:val="20"/>
                <w:szCs w:val="20"/>
              </w:rPr>
              <w:t xml:space="preserve">৬</w:t>
            </w:r>
          </w:p>
        </w:tc>
        <w:tc>
          <w:p>
            <w:r>
              <w:rPr>
                <w:rFonts w:ascii="Kalpurush" w:cs="Kalpurush" w:eastAsia="Kalpurush" w:hAnsi="Kalpurush"/>
                <w:sz w:val="20"/>
                <w:szCs w:val="20"/>
              </w:rPr>
              <w:t xml:space="preserve">10 SCOB [2018] HCD 235</w:t>
            </w:r>
          </w:p>
        </w:tc>
        <w:tc>
          <w:p>
            <w:r>
              <w:rPr>
                <w:rFonts w:ascii="Kalpurush" w:cs="Kalpurush" w:eastAsia="Kalpurush" w:hAnsi="Kalpurush"/>
                <w:sz w:val="20"/>
                <w:szCs w:val="20"/>
              </w:rPr>
              <w:t xml:space="preserve">Finally published SA Khatian reopening ultra vires</w:t>
            </w:r>
          </w:p>
        </w:tc>
      </w:tr>
      <w:tr>
        <w:tc>
          <w:p>
            <w:r>
              <w:rPr>
                <w:rFonts w:ascii="Kalpurush" w:cs="Kalpurush" w:eastAsia="Kalpurush" w:hAnsi="Kalpurush"/>
                <w:sz w:val="20"/>
                <w:szCs w:val="20"/>
              </w:rPr>
              <w:t xml:space="preserve">৭</w:t>
            </w:r>
          </w:p>
        </w:tc>
        <w:tc>
          <w:p>
            <w:r>
              <w:rPr>
                <w:rFonts w:ascii="Kalpurush" w:cs="Kalpurush" w:eastAsia="Kalpurush" w:hAnsi="Kalpurush"/>
                <w:sz w:val="20"/>
                <w:szCs w:val="20"/>
              </w:rPr>
              <w:t xml:space="preserve">18 SCOB [2023] AD 20</w:t>
            </w:r>
          </w:p>
        </w:tc>
        <w:tc>
          <w:p>
            <w:r>
              <w:rPr>
                <w:rFonts w:ascii="Kalpurush" w:cs="Kalpurush" w:eastAsia="Kalpurush" w:hAnsi="Kalpurush"/>
                <w:sz w:val="20"/>
                <w:szCs w:val="20"/>
              </w:rPr>
              <w:t xml:space="preserve">Procured SA entry প্রতিষ্ঠিত স্বত্ব override করে না</w:t>
            </w:r>
          </w:p>
        </w:tc>
      </w:tr>
      <w:tr>
        <w:tc>
          <w:p>
            <w:r>
              <w:rPr>
                <w:rFonts w:ascii="Kalpurush" w:cs="Kalpurush" w:eastAsia="Kalpurush" w:hAnsi="Kalpurush"/>
                <w:sz w:val="20"/>
                <w:szCs w:val="20"/>
              </w:rPr>
              <w:t xml:space="preserve">۸</w:t>
            </w:r>
          </w:p>
        </w:tc>
        <w:tc>
          <w:p>
            <w:r>
              <w:rPr>
                <w:rFonts w:ascii="Kalpurush" w:cs="Kalpurush" w:eastAsia="Kalpurush" w:hAnsi="Kalpurush"/>
                <w:sz w:val="20"/>
                <w:szCs w:val="20"/>
              </w:rPr>
              <w:t xml:space="preserve">10 BLT (AD) 105; 45 DLR (AD) 124</w:t>
            </w:r>
          </w:p>
        </w:tc>
        <w:tc>
          <w:p>
            <w:r>
              <w:rPr>
                <w:rFonts w:ascii="Kalpurush" w:cs="Kalpurush" w:eastAsia="Kalpurush" w:hAnsi="Kalpurush"/>
                <w:sz w:val="20"/>
                <w:szCs w:val="20"/>
              </w:rPr>
              <w:t xml:space="preserve">Burden of proof চ্যালেঞ্জকারীর উপর (Section 103)</w:t>
            </w:r>
          </w:p>
        </w:tc>
      </w:tr>
      <w:tr>
        <w:tc>
          <w:p>
            <w:r>
              <w:rPr>
                <w:rFonts w:ascii="Kalpurush" w:cs="Kalpurush" w:eastAsia="Kalpurush" w:hAnsi="Kalpurush"/>
                <w:sz w:val="20"/>
                <w:szCs w:val="20"/>
              </w:rPr>
              <w:t xml:space="preserve">৯</w:t>
            </w:r>
          </w:p>
        </w:tc>
        <w:tc>
          <w:p>
            <w:r>
              <w:rPr>
                <w:rFonts w:ascii="Kalpurush" w:cs="Kalpurush" w:eastAsia="Kalpurush" w:hAnsi="Kalpurush"/>
                <w:sz w:val="20"/>
                <w:szCs w:val="20"/>
              </w:rPr>
              <w:t xml:space="preserve">19 SCOB [2024] HCD 85</w:t>
            </w:r>
          </w:p>
        </w:tc>
        <w:tc>
          <w:p>
            <w:r>
              <w:rPr>
                <w:rFonts w:ascii="Kalpurush" w:cs="Kalpurush" w:eastAsia="Kalpurush" w:hAnsi="Kalpurush"/>
                <w:sz w:val="20"/>
                <w:szCs w:val="20"/>
              </w:rPr>
              <w:t xml:space="preserve">বাদীর দুর্বলতায় বিবাদী মালিক হয় না</w:t>
            </w:r>
          </w:p>
        </w:tc>
      </w:tr>
    </w:tbl>
    <w:p>
      <w:r>
        <w:rPr>
          <w:rFonts w:ascii="Kalpurush" w:cs="Kalpurush" w:eastAsia="Kalpurush" w:hAnsi="Kalpurush"/>
        </w:rPr>
        <w:t xml:space="preserve"/>
      </w:r>
    </w:p>
    <w:p>
      <w:r>
        <w:rPr>
          <w:rFonts w:ascii="Kalpurush" w:cs="Kalpurush" w:eastAsia="Kalpurush" w:hAnsi="Kalpurush"/>
          <w:b/>
          <w:bCs/>
          <w:sz w:val="20"/>
          <w:szCs w:val="20"/>
        </w:rPr>
        <w:t xml:space="preserve">সহায়ক নজির: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১০</w:t>
            </w:r>
          </w:p>
        </w:tc>
        <w:tc>
          <w:p>
            <w:r>
              <w:rPr>
                <w:rFonts w:ascii="Kalpurush" w:cs="Kalpurush" w:eastAsia="Kalpurush" w:hAnsi="Kalpurush"/>
                <w:sz w:val="20"/>
                <w:szCs w:val="20"/>
              </w:rPr>
              <w:t xml:space="preserve">12 BLC (AD) 79</w:t>
            </w:r>
          </w:p>
        </w:tc>
        <w:tc>
          <w:p>
            <w:r>
              <w:rPr>
                <w:rFonts w:ascii="Kalpurush" w:cs="Kalpurush" w:eastAsia="Kalpurush" w:hAnsi="Kalpurush"/>
                <w:sz w:val="20"/>
                <w:szCs w:val="20"/>
              </w:rPr>
              <w:t xml:space="preserve">নবাব এস্টেটের পত্তন — অনুমোদন ছাড়া void</w:t>
            </w:r>
          </w:p>
        </w:tc>
      </w:tr>
      <w:tr>
        <w:tc>
          <w:p>
            <w:r>
              <w:rPr>
                <w:rFonts w:ascii="Kalpurush" w:cs="Kalpurush" w:eastAsia="Kalpurush" w:hAnsi="Kalpurush"/>
                <w:sz w:val="20"/>
                <w:szCs w:val="20"/>
              </w:rPr>
              <w:t xml:space="preserve">১১</w:t>
            </w:r>
          </w:p>
        </w:tc>
        <w:tc>
          <w:p>
            <w:r>
              <w:rPr>
                <w:rFonts w:ascii="Kalpurush" w:cs="Kalpurush" w:eastAsia="Kalpurush" w:hAnsi="Kalpurush"/>
                <w:sz w:val="20"/>
                <w:szCs w:val="20"/>
              </w:rPr>
              <w:t xml:space="preserve">6 BLD (AD) 70</w:t>
            </w:r>
          </w:p>
        </w:tc>
        <w:tc>
          <w:p>
            <w:r>
              <w:rPr>
                <w:rFonts w:ascii="Kalpurush" w:cs="Kalpurush" w:eastAsia="Kalpurush" w:hAnsi="Kalpurush"/>
                <w:sz w:val="20"/>
                <w:szCs w:val="20"/>
              </w:rPr>
              <w:t xml:space="preserve">রাষ্ট্রীয় স্বীকৃতিই tenancy-র ভিত্তি</w:t>
            </w:r>
          </w:p>
        </w:tc>
      </w:tr>
      <w:tr>
        <w:tc>
          <w:p>
            <w:r>
              <w:rPr>
                <w:rFonts w:ascii="Kalpurush" w:cs="Kalpurush" w:eastAsia="Kalpurush" w:hAnsi="Kalpurush"/>
                <w:sz w:val="20"/>
                <w:szCs w:val="20"/>
              </w:rPr>
              <w:t xml:space="preserve">১২</w:t>
            </w:r>
          </w:p>
        </w:tc>
        <w:tc>
          <w:p>
            <w:r>
              <w:rPr>
                <w:rFonts w:ascii="Kalpurush" w:cs="Kalpurush" w:eastAsia="Kalpurush" w:hAnsi="Kalpurush"/>
                <w:sz w:val="20"/>
                <w:szCs w:val="20"/>
              </w:rPr>
              <w:t xml:space="preserve">49 DLR (AD) 15; 8 SCOB (2016) HCD 1</w:t>
            </w:r>
          </w:p>
        </w:tc>
        <w:tc>
          <w:p>
            <w:r>
              <w:rPr>
                <w:rFonts w:ascii="Kalpurush" w:cs="Kalpurush" w:eastAsia="Kalpurush" w:hAnsi="Kalpurush"/>
                <w:sz w:val="20"/>
                <w:szCs w:val="20"/>
              </w:rPr>
              <w:t xml:space="preserve">প্রাইভেট বাটোয়ারায় সরকার necessary party নহে</w:t>
            </w:r>
          </w:p>
        </w:tc>
      </w:tr>
      <w:tr>
        <w:tc>
          <w:p>
            <w:r>
              <w:rPr>
                <w:rFonts w:ascii="Kalpurush" w:cs="Kalpurush" w:eastAsia="Kalpurush" w:hAnsi="Kalpurush"/>
                <w:sz w:val="20"/>
                <w:szCs w:val="20"/>
              </w:rPr>
              <w:t xml:space="preserve">১৩</w:t>
            </w:r>
          </w:p>
        </w:tc>
        <w:tc>
          <w:p>
            <w:r>
              <w:rPr>
                <w:rFonts w:ascii="Kalpurush" w:cs="Kalpurush" w:eastAsia="Kalpurush" w:hAnsi="Kalpurush"/>
                <w:sz w:val="20"/>
                <w:szCs w:val="20"/>
              </w:rPr>
              <w:t xml:space="preserve">27 BLD 229</w:t>
            </w:r>
          </w:p>
        </w:tc>
        <w:tc>
          <w:p>
            <w:r>
              <w:rPr>
                <w:rFonts w:ascii="Kalpurush" w:cs="Kalpurush" w:eastAsia="Kalpurush" w:hAnsi="Kalpurush"/>
                <w:sz w:val="20"/>
                <w:szCs w:val="20"/>
              </w:rPr>
              <w:t xml:space="preserve">Separate khatian separate tenancy; no hotchpot defect</w:t>
            </w:r>
          </w:p>
        </w:tc>
      </w:tr>
      <w:tr>
        <w:tc>
          <w:p>
            <w:r>
              <w:rPr>
                <w:rFonts w:ascii="Kalpurush" w:cs="Kalpurush" w:eastAsia="Kalpurush" w:hAnsi="Kalpurush"/>
                <w:sz w:val="20"/>
                <w:szCs w:val="20"/>
              </w:rPr>
              <w:t xml:space="preserve">১৪</w:t>
            </w:r>
          </w:p>
        </w:tc>
        <w:tc>
          <w:p>
            <w:r>
              <w:rPr>
                <w:rFonts w:ascii="Kalpurush" w:cs="Kalpurush" w:eastAsia="Kalpurush" w:hAnsi="Kalpurush"/>
                <w:sz w:val="20"/>
                <w:szCs w:val="20"/>
              </w:rPr>
              <w:t xml:space="preserve">23 BLD (AD) 83</w:t>
            </w:r>
          </w:p>
        </w:tc>
        <w:tc>
          <w:p>
            <w:r>
              <w:rPr>
                <w:rFonts w:ascii="Kalpurush" w:cs="Kalpurush" w:eastAsia="Kalpurush" w:hAnsi="Kalpurush"/>
                <w:sz w:val="20"/>
                <w:szCs w:val="20"/>
              </w:rPr>
              <w:t xml:space="preserve">অসৎ বিবাদীর ইচ্ছায় civil court থামে না</w:t>
            </w:r>
          </w:p>
        </w:tc>
      </w:tr>
    </w:tbl>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2026-06-11T09:26:11.664Z</dcterms:created>
  <dcterms:modified xsi:type="dcterms:W3CDTF">2026-06-11T09:26:11.664Z</dcterms:modified>
</cp:coreProperties>
</file>

<file path=docProps/custom.xml><?xml version="1.0" encoding="utf-8"?>
<Properties xmlns="http://schemas.openxmlformats.org/officeDocument/2006/custom-properties" xmlns:vt="http://schemas.openxmlformats.org/officeDocument/2006/docPropsVTypes"/>
</file>