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65 — Measured Executive Summary &amp; Oral Strategy)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(১ পৃষ্ঠার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বাতিলযোগ্য)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পিলার্স (The 4 Core Pillars of Appeal)</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লিখিত চুক্তি বা চিফ ম্যানেজারের অনুমোদন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সংশোধনের পর SA ২৩৮-এ মাত্র ১টি দাগ ছিল, অথচ তাহাদের নিজেদের রেজিস্ট্রিকৃত ৩৫৯৬/১৯৫ নং দলিলে (Exhibit Kha-1) ৬টি দাগের উল্লেখ রয়েছে।</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জেলা প্রশাসকের সেন্ট্রাল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Order Never Produced:</w:t>
      </w:r>
      <w:r>
        <w:rPr>
          <w:rFonts w:ascii="Kalpurush" w:cs="Kalpurush" w:eastAsia="Kalpurush" w:hAnsi="Kalpurush"/>
          <w:sz w:val="20"/>
          <w:szCs w:val="20"/>
        </w:rPr>
        <w:t xml:space="preserve"> ১৯৬৯ সালের ১১৮১ নং Misc Case-এর কোনো আদেশনামা, রায় বা সার্টিফাইড কপি নাই; আদেশের অনুপস্থিতিতে ভলিউম নোটের স্বাধীন অস্তিত্ব থাকিতে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Illegal Shifting of Burden:</w:t>
      </w:r>
      <w:r>
        <w:rPr>
          <w:rFonts w:ascii="Kalpurush" w:cs="Kalpurush" w:eastAsia="Kalpurush" w:hAnsi="Kalpurush"/>
          <w:sz w:val="20"/>
          <w:szCs w:val="20"/>
        </w:rPr>
        <w:t xml:space="preserve"> বাদী সইমোহরি খতিয়ান দাখিল করিয়া initial burden নিষ্পত্তির পর ট্রায়াল কোর্ট অন্যায়ভাবে বাদীর উপর নেতিবাচক প্রমাণের দায়িত্ব চাপাইয়াছেন (Evidence Act s.103)।</w:t>
      </w:r>
    </w:p>
    <w:p>
      <w:pPr>
        <w:pStyle w:val="ListParagraph"/>
        <w:numPr>
          <w:ilvl w:val="0"/>
          <w:numId w:val="1"/>
        </w:numPr>
      </w:pPr>
      <w:r>
        <w:rPr>
          <w:rFonts w:ascii="Kalpurush" w:cs="Kalpurush" w:eastAsia="Kalpurush" w:hAnsi="Kalpurush"/>
          <w:b/>
          <w:bCs/>
          <w:sz w:val="20"/>
          <w:szCs w:val="20"/>
        </w:rPr>
        <w:t xml:space="preserve">AC Land Note Has No Legal Force:</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(53 DLR 19; 18 BLC 235)।</w:t>
      </w:r>
    </w:p>
    <w:p>
      <w:pPr>
        <w:pStyle w:val="ListParagraph"/>
        <w:numPr>
          <w:ilvl w:val="0"/>
          <w:numId w:val="1"/>
        </w:numPr>
      </w:pP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বিবাদীদের কথিত স্বত্বের মূল (Root) এবং কথিত সংশোধন আদেশ উভয়ই প্রমাণের অভাবে অকার্যকর হওয়ায় নিম্ন আদালতের রায়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CHEAT SHEET FOR ORAL ADVOCACY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1: The Fatal Error — Unproved Root Tenancy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আব্দুল করিম ১৯৩৪ সালে নবাব এস্টেট হতে প্রজা হন।</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CS ২ খতিয়ানে জমি নবাব এস্টেটের খাস জমি। পাট্টা/কবুলিয়ত নাই। চিফ ম্যানেজারের অনুমোদন নাই (12 BLC (AD) 79)। অনিবন্ধিত পত্তন বা মৌখিক দাবির পক্ষে দখলের আইনি প্রমাণ নাই। SAT Act s.86-এ প্রাক-SA দাবি খতিয়ানের বিপরীতে অকার্যকর (4 SCOB [2015] HCD 52)।</w:t>
      </w:r>
    </w:p>
    <w:p>
      <w:pPr>
        <w:pStyle w:val="ListParagraph"/>
        <w:numPr>
          <w:ilvl w:val="0"/>
          <w:numId w:val="1"/>
        </w:numPr>
      </w:pPr>
      <w:r>
        <w:rPr>
          <w:rFonts w:ascii="Kalpurush" w:cs="Kalpurush" w:eastAsia="Kalpurush" w:hAnsi="Kalpurush"/>
          <w:b/>
          <w:bCs/>
          <w:sz w:val="20"/>
          <w:szCs w:val="20"/>
        </w:rPr>
        <w:t xml:space="preserve">Abdul Ali Title Note:</w:t>
      </w:r>
      <w:r>
        <w:rPr>
          <w:rFonts w:ascii="Kalpurush" w:cs="Kalpurush" w:eastAsia="Kalpurush" w:hAnsi="Kalpurush"/>
          <w:sz w:val="20"/>
          <w:szCs w:val="20"/>
        </w:rPr>
        <w:t xml:space="preserve"> *Abdul Ali's title is derived directly from the finally published SA Record (state recognition and continuous possession), not through Abdul Karim.*</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2: State Recognition &amp; Burden of Proof</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বাদীকে প্রমাণ করতে হবে খতিয়ান কেন ভুল নয়।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SA ২৩৮ খতিয়ানে আব্দুল আলী ১৬ আনা প্রজা। Section 144A Presumption বাদীর পক্ষে। প্রমাণের দায় সম্পূর্ণ বিবাদীদের উপর (50 DLR 186; 56 DLR (AD) 53; Evidence Act s.103)।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3: Collapse of the Correction Theory (Alleged Misc Case)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১৯৬৯ সালের ১১৮১ নং Misc Case-এ রেকর্ড সংশোধিত হয়েছে।</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কোনো Order Sheet, Judgment, Decree বা Certified Copy নাই। Misc Case-এ Title Adjudication সম্ভব নহে (27 BLD 544)।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4: AC Land Volume Note Has No Legal Force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AC Land ভলিউম নোটের ভিত্তিতে বিবাদীদের দাবি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AC Land আদালত নন; Mutation দ্বারা Title খর্ব করার এখতিয়ার রাজস্ব কর্মকর্তার নাই (18 SCOB [2023] AD 20; 18 BLC 235; 29 BLC 160)। *DW-4 could neither identify the author of the margin entry nor produce the original correction proceeding.* DC Record Room আজও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5: Respondents' Defence Defeats Itself (Internal Contradictions)</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বিবাদীদের প্রতিরক্ষা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w:t>
      </w:r>
    </w:p>
    <w:p>
      <w:r>
        <w:rPr>
          <w:rFonts w:ascii="Kalpurush" w:cs="Kalpurush" w:eastAsia="Kalpurush" w:hAnsi="Kalpurush"/>
          <w:sz w:val="20"/>
          <w:szCs w:val="20"/>
        </w:rPr>
        <w:t xml:space="preserve">  1. বিবাদীদের ১৯৭৫ সালের দলিলে (Exh Kha-1) SA ২৩৮-এ ৬টি দাগ (আদালতে দাবি ছিল ১টি)।</w:t>
      </w:r>
    </w:p>
    <w:p>
      <w:r>
        <w:rPr>
          <w:rFonts w:ascii="Kalpurush" w:cs="Kalpurush" w:eastAsia="Kalpurush" w:hAnsi="Kalpurush"/>
          <w:sz w:val="20"/>
          <w:szCs w:val="20"/>
        </w:rPr>
        <w:t xml:space="preserve">  2. DW-4 জবানবন্দিতে স্বীকার করেন ভলিউম নোট ভিন্ন কালিতে এবং প্রজার নাম বলেন "আব্দুল আলীম"।</w:t>
      </w:r>
    </w:p>
    <w:p>
      <w:r>
        <w:rPr>
          <w:rFonts w:ascii="Kalpurush" w:cs="Kalpurush" w:eastAsia="Kalpurush" w:hAnsi="Kalpurush"/>
          <w:sz w:val="20"/>
          <w:szCs w:val="20"/>
        </w:rPr>
        <w:t xml:space="preserve">  3. সোনাভানুর অন্য বোনদের (বেলুয়া ও কমলা) নাম বাদ পড়া।</w:t>
      </w:r>
    </w:p>
    <w:p>
      <w:r>
        <w:rPr>
          <w:rFonts w:ascii="Kalpurush" w:cs="Kalpurush" w:eastAsia="Kalpurush" w:hAnsi="Kalpurush"/>
          <w:sz w:val="20"/>
          <w:szCs w:val="20"/>
        </w:rPr>
        <w:t xml:space="preserve">  4. গাণিতিক অসম্ভাব্যতা: ৩৪৯ + ১৩৭ = ৪৮৬ শতক, কিন্তু দাগের মোট আয়তন ৪৭৭ শতক (সিএস/এসএ ২৩৮ তফসিল ও সরেজমিন রেকর্ড সমর্থিত)।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6: Partition Suit Maintainability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আংশিক বাটোয়ারা (Hotchpot) ও Non-joinder দোষে মামলা খারিজ।</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বাটোয়ারা আদালত Incidental Title নির্ধারণ করতে পারেন। *The alleged Government land is neither claimed by the plaintiffs nor sought to be partitioned.* পৃথক খতিয়ান বা সরকারি জমি বাদ দিলে Hotchpot হয় না (27 BLD 229)। ব্যক্তিমালিকানাধীন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FOCUSED BENCH QUESTIONS (TOP 10 QUICK REFERENCE)</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Misc Case-এর সার্টিফাইড কপি নাই কেন?</w:t>
      </w:r>
      <w:r>
        <w:rPr>
          <w:rFonts w:ascii="Kalpurush" w:cs="Kalpurush" w:eastAsia="Kalpurush" w:hAnsi="Kalpurush"/>
          <w:sz w:val="20"/>
          <w:szCs w:val="20"/>
        </w:rPr>
        <w:t xml:space="preserve"> $\rightarrow$ বাস্তবে কোনো বিচারিক আদেশ ছিল না; Evidence Act s.114(g)-তে Adverse Inference গ্রহণীয়।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AC Land ভলিউম নোটের আইনি গুরুত্ব কতটুকু?</w:t>
      </w:r>
      <w:r>
        <w:rPr>
          <w:rFonts w:ascii="Kalpurush" w:cs="Kalpurush" w:eastAsia="Kalpurush" w:hAnsi="Kalpurush"/>
          <w:sz w:val="20"/>
          <w:szCs w:val="20"/>
        </w:rPr>
        <w:t xml:space="preserve"> $\rightarrow$ Parent Order ছাড়া Volume Note-এর Presumption নাই (53 DLR 19)।</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AC Land কি স্বত্ব খর্ব করতে পারেন?</w:t>
      </w:r>
      <w:r>
        <w:rPr>
          <w:rFonts w:ascii="Kalpurush" w:cs="Kalpurush" w:eastAsia="Kalpurush" w:hAnsi="Kalpurush"/>
          <w:sz w:val="20"/>
          <w:szCs w:val="20"/>
        </w:rPr>
        <w:t xml:space="preserve"> $\rightarrow$ না, রাজস্ব কর্মকর্তার কোনো Title Adjudication-এর এখতিয়ার নাই (18 BLC 235; 29 BLC 160)।</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১৯৩৪ সালের পত্তনের আইনি অবস্থা কি?</w:t>
      </w:r>
      <w:r>
        <w:rPr>
          <w:rFonts w:ascii="Kalpurush" w:cs="Kalpurush" w:eastAsia="Kalpurush" w:hAnsi="Kalpurush"/>
          <w:sz w:val="20"/>
          <w:szCs w:val="20"/>
        </w:rPr>
        <w:t xml:space="preserve"> $\rightarrow$ SAT Act s.86-এ প্রাক-SA অনিবন্ধিত দাবি খতিয়ানের বিপরীতে অকার্যকর (4 SCOB [2015] HCD 52)।</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১৯৭৫ সালের দলিল কেন বিবাদীদের বিরুদ্ধে যায়?</w:t>
      </w:r>
      <w:r>
        <w:rPr>
          <w:rFonts w:ascii="Kalpurush" w:cs="Kalpurush" w:eastAsia="Kalpurush" w:hAnsi="Kalpurush"/>
          <w:sz w:val="20"/>
          <w:szCs w:val="20"/>
        </w:rPr>
        <w:t xml:space="preserve"> $\rightarrow$ বিবাদীরা নিজেরা দলিলে ৬টি দাগ উল্লেখ করেছে, অথচ আদালতে ১টি দাগের দাবি তুলে ধরেছে (Deed 3596/1975)।</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সরকারি জমি বাদ পড়ায় Hotchpot দোষ হয়েছে কিনা?</w:t>
      </w:r>
      <w:r>
        <w:rPr>
          <w:rFonts w:ascii="Kalpurush" w:cs="Kalpurush" w:eastAsia="Kalpurush" w:hAnsi="Kalpurush"/>
          <w:sz w:val="20"/>
          <w:szCs w:val="20"/>
        </w:rPr>
        <w:t xml:space="preserve"> $\rightarrow$ না, The alleged Government land is neither claimed by the plaintiffs nor sought to be partitioned (27 BLD 229)।</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সরকারকে পক্ষ না করায় মামলা খারিজ হবে কিনা?</w:t>
      </w:r>
      <w:r>
        <w:rPr>
          <w:rFonts w:ascii="Kalpurush" w:cs="Kalpurush" w:eastAsia="Kalpurush" w:hAnsi="Kalpurush"/>
          <w:sz w:val="20"/>
          <w:szCs w:val="20"/>
        </w:rPr>
        <w:t xml:space="preserve"> $\rightarrow$ না, প্রাইভেট বাটোয়ারায় সরকার Necessary Party নয় (49 DLR (AD) 15)।</w:t>
      </w:r>
    </w:p>
    <w:p>
      <w:r>
        <w:rPr>
          <w:rFonts w:ascii="Kalpurush" w:cs="Kalpurush" w:eastAsia="Kalpurush" w:hAnsi="Kalpurush"/>
          <w:sz w:val="20"/>
          <w:szCs w:val="20"/>
        </w:rPr>
        <w:t xml:space="preserve">8. </w:t>
      </w:r>
      <w:r>
        <w:rPr>
          <w:rFonts w:ascii="Kalpurush" w:cs="Kalpurush" w:eastAsia="Kalpurush" w:hAnsi="Kalpurush"/>
          <w:b/>
          <w:bCs/>
          <w:sz w:val="20"/>
          <w:szCs w:val="20"/>
        </w:rPr>
        <w:t xml:space="preserve">DW-4 জেরায় কি স্বীকার করেছেন?</w:t>
      </w:r>
      <w:r>
        <w:rPr>
          <w:rFonts w:ascii="Kalpurush" w:cs="Kalpurush" w:eastAsia="Kalpurush" w:hAnsi="Kalpurush"/>
          <w:sz w:val="20"/>
          <w:szCs w:val="20"/>
        </w:rPr>
        <w:t xml:space="preserve"> $\rightarrow$ ভিন্ন কালি, মূল ফাইলের অনুপস্থিতি এবং লেখক চিহ্নিত করতে না পারা।</w:t>
      </w:r>
    </w:p>
    <w:p>
      <w:r>
        <w:rPr>
          <w:rFonts w:ascii="Kalpurush" w:cs="Kalpurush" w:eastAsia="Kalpurush" w:hAnsi="Kalpurush"/>
          <w:sz w:val="20"/>
          <w:szCs w:val="20"/>
        </w:rPr>
        <w:t xml:space="preserve">9. </w:t>
      </w:r>
      <w:r>
        <w:rPr>
          <w:rFonts w:ascii="Kalpurush" w:cs="Kalpurush" w:eastAsia="Kalpurush" w:hAnsi="Kalpurush"/>
          <w:b/>
          <w:bCs/>
          <w:sz w:val="20"/>
          <w:szCs w:val="20"/>
        </w:rPr>
        <w:t xml:space="preserve">সোনাভানুর বোনদের নাম বাদ পড়া কেন তাৎপর্যপূর্ণ?</w:t>
      </w:r>
      <w:r>
        <w:rPr>
          <w:rFonts w:ascii="Kalpurush" w:cs="Kalpurush" w:eastAsia="Kalpurush" w:hAnsi="Kalpurush"/>
          <w:sz w:val="20"/>
          <w:szCs w:val="20"/>
        </w:rPr>
        <w:t xml:space="preserve"> $\rightarrow$ ইহা প্রথাগত উত্তরাধিকার সংশোধনের দাবিকে দুর্বল করে।</w:t>
      </w:r>
    </w:p>
    <w:p>
      <w:r>
        <w:rPr>
          <w:rFonts w:ascii="Kalpurush" w:cs="Kalpurush" w:eastAsia="Kalpurush" w:hAnsi="Kalpurush"/>
          <w:sz w:val="20"/>
          <w:szCs w:val="20"/>
        </w:rPr>
        <w:t xml:space="preserve">10. </w:t>
      </w:r>
      <w:r>
        <w:rPr>
          <w:rFonts w:ascii="Kalpurush" w:cs="Kalpurush" w:eastAsia="Kalpurush" w:hAnsi="Kalpurush"/>
          <w:b/>
          <w:bCs/>
          <w:sz w:val="20"/>
          <w:szCs w:val="20"/>
        </w:rPr>
        <w:t xml:space="preserve">জেলা প্রশাসকের রেকর্ড রুমের অপরিবর্তিত খতিয়ানের গুরুত্ব কি?</w:t>
      </w:r>
      <w:r>
        <w:rPr>
          <w:rFonts w:ascii="Kalpurush" w:cs="Kalpurush" w:eastAsia="Kalpurush" w:hAnsi="Kalpurush"/>
          <w:sz w:val="20"/>
          <w:szCs w:val="20"/>
        </w:rPr>
        <w:t xml:space="preserve"> $\rightarrow$ জেলা রেকর্ড রুমই Statutory ROR-এর সংবিধিবদ্ধ অভিভাবক; ৫০ বছর সেখানে নাম অপরিবর্তিত।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ISSUE-WISE AUTHORITIES INDEX (QUICK LOOKUP)</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Issue 1 (Pre-SA Title):</w:t>
      </w:r>
      <w:r>
        <w:rPr>
          <w:rFonts w:ascii="Kalpurush" w:cs="Kalpurush" w:eastAsia="Kalpurush" w:hAnsi="Kalpurush"/>
          <w:sz w:val="20"/>
          <w:szCs w:val="20"/>
        </w:rPr>
        <w:t xml:space="preserve"> 4 SCOB [2015] HCD 52; 12 BLC (AD) 79; 42 DLR (HD) 434.</w:t>
      </w:r>
    </w:p>
    <w:p>
      <w:pPr>
        <w:pStyle w:val="ListParagraph"/>
        <w:numPr>
          <w:ilvl w:val="0"/>
          <w:numId w:val="1"/>
        </w:numPr>
      </w:pPr>
      <w:r>
        <w:rPr>
          <w:rFonts w:ascii="Kalpurush" w:cs="Kalpurush" w:eastAsia="Kalpurush" w:hAnsi="Kalpurush"/>
          <w:b/>
          <w:bCs/>
          <w:sz w:val="20"/>
          <w:szCs w:val="20"/>
        </w:rPr>
        <w:t xml:space="preserve">Issue 2 (SA Presumption &amp; Burden):</w:t>
      </w:r>
      <w:r>
        <w:rPr>
          <w:rFonts w:ascii="Kalpurush" w:cs="Kalpurush" w:eastAsia="Kalpurush" w:hAnsi="Kalpurush"/>
          <w:sz w:val="20"/>
          <w:szCs w:val="20"/>
        </w:rPr>
        <w:t xml:space="preserve"> 56 DLR (AD) 53; 50 DLR (HD) 186; 35 DLR (AD) 230; 45 DLR (AD) 124.</w:t>
      </w:r>
    </w:p>
    <w:p>
      <w:pPr>
        <w:pStyle w:val="ListParagraph"/>
        <w:numPr>
          <w:ilvl w:val="0"/>
          <w:numId w:val="1"/>
        </w:numPr>
      </w:pPr>
      <w:r>
        <w:rPr>
          <w:rFonts w:ascii="Kalpurush" w:cs="Kalpurush" w:eastAsia="Kalpurush" w:hAnsi="Kalpurush"/>
          <w:b/>
          <w:bCs/>
          <w:sz w:val="20"/>
          <w:szCs w:val="20"/>
        </w:rPr>
        <w:t xml:space="preserve">Issue 3 (Alleged Misc Case):</w:t>
      </w:r>
      <w:r>
        <w:rPr>
          <w:rFonts w:ascii="Kalpurush" w:cs="Kalpurush" w:eastAsia="Kalpurush" w:hAnsi="Kalpurush"/>
          <w:sz w:val="20"/>
          <w:szCs w:val="20"/>
        </w:rPr>
        <w:t xml:space="preserve"> 27 BLD (HD) 544; Evidence Act s.114(g).</w:t>
      </w:r>
    </w:p>
    <w:p>
      <w:pPr>
        <w:pStyle w:val="ListParagraph"/>
        <w:numPr>
          <w:ilvl w:val="0"/>
          <w:numId w:val="1"/>
        </w:numPr>
      </w:pPr>
      <w:r>
        <w:rPr>
          <w:rFonts w:ascii="Kalpurush" w:cs="Kalpurush" w:eastAsia="Kalpurush" w:hAnsi="Kalpurush"/>
          <w:b/>
          <w:bCs/>
          <w:sz w:val="20"/>
          <w:szCs w:val="20"/>
        </w:rPr>
        <w:t xml:space="preserve">Issue 4 (Mutation &amp; Volume Note Jurisdiction):</w:t>
      </w:r>
      <w:r>
        <w:rPr>
          <w:rFonts w:ascii="Kalpurush" w:cs="Kalpurush" w:eastAsia="Kalpurush" w:hAnsi="Kalpurush"/>
          <w:sz w:val="20"/>
          <w:szCs w:val="20"/>
        </w:rPr>
        <w:t xml:space="preserve"> 18 SCOB [2023] AD 20; 18 BLC (HD) 235; 29 BLC (HD) 160; 53 DLR (HD) 19; 1 BLT (HD) 18.</w:t>
      </w:r>
    </w:p>
    <w:p>
      <w:pPr>
        <w:pStyle w:val="ListParagraph"/>
        <w:numPr>
          <w:ilvl w:val="0"/>
          <w:numId w:val="1"/>
        </w:numPr>
      </w:pPr>
      <w:r>
        <w:rPr>
          <w:rFonts w:ascii="Kalpurush" w:cs="Kalpurush" w:eastAsia="Kalpurush" w:hAnsi="Kalpurush"/>
          <w:b/>
          <w:bCs/>
          <w:sz w:val="20"/>
          <w:szCs w:val="20"/>
        </w:rPr>
        <w:t xml:space="preserve">Issue 5 (Admissions &amp; Estoppel):</w:t>
      </w:r>
      <w:r>
        <w:rPr>
          <w:rFonts w:ascii="Kalpurush" w:cs="Kalpurush" w:eastAsia="Kalpurush" w:hAnsi="Kalpurush"/>
          <w:sz w:val="20"/>
          <w:szCs w:val="20"/>
        </w:rPr>
        <w:t xml:space="preserve"> Evidence Act ss. 17, 18, 21; Approbate &amp; Reprobate.</w:t>
      </w:r>
    </w:p>
    <w:p>
      <w:pPr>
        <w:pStyle w:val="ListParagraph"/>
        <w:numPr>
          <w:ilvl w:val="0"/>
          <w:numId w:val="1"/>
        </w:numPr>
      </w:pPr>
      <w:r>
        <w:rPr>
          <w:rFonts w:ascii="Kalpurush" w:cs="Kalpurush" w:eastAsia="Kalpurush" w:hAnsi="Kalpurush"/>
          <w:b/>
          <w:bCs/>
          <w:sz w:val="20"/>
          <w:szCs w:val="20"/>
        </w:rPr>
        <w:t xml:space="preserve">Issue 6 (Partition Technicalities):</w:t>
      </w:r>
      <w:r>
        <w:rPr>
          <w:rFonts w:ascii="Kalpurush" w:cs="Kalpurush" w:eastAsia="Kalpurush" w:hAnsi="Kalpurush"/>
          <w:sz w:val="20"/>
          <w:szCs w:val="20"/>
        </w:rPr>
        <w:t xml:space="preserve"> 49 DLR (AD) 15; 27 BLD (HD) 229;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prove the foundation of their defence. Once the alleged correction order disappears, every consequential claim founded upon it also disappears. Consequently, the statutory presumption attached to the finally published SA Record remains wholly unrebutted. The impugned judgment, therefore, cannot be sustained in law and deserves to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2026-07-30T09:24:15.745Z</dcterms:created>
  <dcterms:modified xsi:type="dcterms:W3CDTF">2026-07-30T09:24:15.745Z</dcterms:modified>
</cp:coreProperties>
</file>

<file path=docProps/custom.xml><?xml version="1.0" encoding="utf-8"?>
<Properties xmlns="http://schemas.openxmlformats.org/officeDocument/2006/custom-properties" xmlns:vt="http://schemas.openxmlformats.org/officeDocument/2006/docPropsVTypes"/>
</file>