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जिला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54.1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 ও কল্পকাহিনীর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সম্পূর্ণ অকার্যকর</w:t>
      </w:r>
    </w:p>
    <w:p>
      <w:pPr>
        <w:pStyle w:val="Heading3"/>
      </w:pPr>
      <w:r>
        <w:rPr>
          <w:rFonts w:ascii="Kalpurush" w:cs="Kalpurush" w:eastAsia="Kalpurush" w:hAnsi="Kalpurush"/>
          <w:sz w:val="20"/>
          <w:szCs w:val="20"/>
        </w:rPr>
        <w:t xml:space="preserve">*(The Double Collapse, Voidness under Section 143A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সম্পূর্ণ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 ও আইনি অকার্যকারিতা):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সমন জারির প্রমাণ, তদন্ত প্রতিবেদন,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না যে উহা title matter ছিল, correction matter ছিল, না অন্য কোনো প্রশাসনিক কার্যক্রম ছিল।</w:t>
      </w:r>
    </w:p>
    <w:p>
      <w:r>
        <w:rPr>
          <w:rFonts w:ascii="Kalpurush" w:cs="Kalpurush" w:eastAsia="Kalpurush" w:hAnsi="Kalpurush"/>
        </w:rPr>
        <w:t xml:space="preserve"/>
      </w:r>
    </w:p>
    <w:p>
      <w:r>
        <w:rPr>
          <w:rFonts w:ascii="Kalpurush" w:cs="Kalpurush" w:eastAsia="Kalpurush" w:hAnsi="Kalpurush"/>
          <w:sz w:val="20"/>
          <w:szCs w:val="20"/>
        </w:rPr>
        <w:t xml:space="preserve">অধিকন্তু, দেওয়ানি আদালতের Misc Case-এর মাধ্যমে State Record সংশোধন বা Title adjudicate করা যায় না।</w:t>
      </w:r>
    </w:p>
    <w:p>
      <w:r>
        <w:rPr>
          <w:rFonts w:ascii="Kalpurush" w:cs="Kalpurush" w:eastAsia="Kalpurush" w:hAnsi="Kalpurush"/>
        </w:rPr>
        <w:t xml:space="preserve"/>
      </w:r>
    </w:p>
    <w:p>
      <w:r>
        <w:rPr>
          <w:rFonts w:ascii="Kalpurush" w:cs="Kalpurush" w:eastAsia="Kalpurush" w:hAnsi="Kalpurush"/>
          <w:b/>
          <w:bCs/>
          <w:sz w:val="20"/>
          <w:szCs w:val="20"/>
        </w:rPr>
        <w:t xml:space="preserve">১. কথিত রেকর্ড সংশোধন আইনগতভাবে অবৈধ ও এখতিয়ারবিহীন:</w:t>
      </w:r>
    </w:p>
    <w:p>
      <w:r>
        <w:rPr>
          <w:rFonts w:ascii="Kalpurush" w:cs="Kalpurush" w:eastAsia="Kalpurush" w:hAnsi="Kalpurush"/>
          <w:sz w:val="20"/>
          <w:szCs w:val="20"/>
        </w:rPr>
        <w:t xml:space="preserve">تৎকালীন সময়ে বলবৎ থাকা SAT Act-এর ধারা ১৪৩A ছিল একটি বিশেষ বিধান।</w:t>
      </w:r>
    </w:p>
    <w:p>
      <w:pPr>
        <w:pStyle w:val="ListParagraph"/>
        <w:numPr>
          <w:ilvl w:val="0"/>
          <w:numId w:val="1"/>
        </w:numPr>
      </w:pPr>
      <w:r>
        <w:rPr>
          <w:rFonts w:ascii="Kalpurush" w:cs="Kalpurush" w:eastAsia="Kalpurush" w:hAnsi="Kalpurush"/>
          <w:b/>
          <w:bCs/>
          <w:sz w:val="20"/>
          <w:szCs w:val="20"/>
        </w:rPr>
        <w:t xml:space="preserve">Title Adjudication অসম্ভব:</w:t>
      </w:r>
      <w:r>
        <w:rPr>
          <w:rFonts w:ascii="Kalpurush" w:cs="Kalpurush" w:eastAsia="Kalpurush" w:hAnsi="Kalpurush"/>
          <w:sz w:val="20"/>
          <w:szCs w:val="20"/>
        </w:rPr>
        <w:t xml:space="preserve"> ধারা ১৪৩A-এর অধীনে যেকোনো কার্যক্রম কেবল দখল (possession)-এর ভিত্তিতে রেকর্ড সংশোধনের জন্য প্রযোজ্য ছিল, এটি স্বত্ব ঘোষণার (declaration of title) জন্য কোনো মামলা নয়। স্বত্ব নির্ধারণের এখতিয়ার দেওয়ানি আদালতের মূল মামলার (title suit) এবং উহার জন্য </w:t>
      </w:r>
      <w:r>
        <w:rPr>
          <w:rFonts w:ascii="Kalpurush" w:cs="Kalpurush" w:eastAsia="Kalpurush" w:hAnsi="Kalpurush"/>
          <w:b/>
          <w:bCs/>
          <w:sz w:val="20"/>
          <w:szCs w:val="20"/>
        </w:rPr>
        <w:t xml:space="preserve">Specific Relief Act-এর ধারা ৪২</w:t>
      </w:r>
      <w:r>
        <w:rPr>
          <w:rFonts w:ascii="Kalpurush" w:cs="Kalpurush" w:eastAsia="Kalpurush" w:hAnsi="Kalpurush"/>
          <w:sz w:val="20"/>
          <w:szCs w:val="20"/>
        </w:rPr>
        <w:t xml:space="preserve"> প্রযোজ্য।</w:t>
      </w:r>
    </w:p>
    <w:p>
      <w:pPr>
        <w:pStyle w:val="ListParagraph"/>
        <w:numPr>
          <w:ilvl w:val="0"/>
          <w:numId w:val="1"/>
        </w:numPr>
      </w:pPr>
      <w:r>
        <w:rPr>
          <w:rFonts w:ascii="Kalpurush" w:cs="Kalpurush" w:eastAsia="Kalpurush" w:hAnsi="Kalpurush"/>
          <w:b/>
          <w:bCs/>
          <w:sz w:val="20"/>
          <w:szCs w:val="20"/>
        </w:rPr>
        <w:t xml:space="preserve">তদন্ত প্রতিবেদন ব্যতিরেকে আদেশ অবৈধ:</w:t>
      </w:r>
      <w:r>
        <w:rPr>
          <w:rFonts w:ascii="Kalpurush" w:cs="Kalpurush" w:eastAsia="Kalpurush" w:hAnsi="Kalpurush"/>
          <w:sz w:val="20"/>
          <w:szCs w:val="20"/>
        </w:rPr>
        <w:t xml:space="preserve"> ধারা ১৪৩A(৪) অনুযায়ী সংশ্লিষ্ট রাজস্ব কর্মকর্তা (Revenue Officer) কর্তৃক সরেজমিনে তদন্ত (local inquiry) ও তদন্ত প্রতিবেদন দাখিল করা বাধ্যতামূলক ছিল। বিবাদীরা কোনো তদন্ত প্রতিবেদন দাখিল করতে পারেননি।</w:t>
      </w:r>
    </w:p>
    <w:p>
      <w:r>
        <w:rPr>
          <w:rFonts w:ascii="Kalpurush" w:cs="Kalpurush" w:eastAsia="Kalpurush" w:hAnsi="Kalpurush"/>
        </w:rPr>
        <w:t xml:space="preserve"/>
      </w:r>
    </w:p>
    <w:p>
      <w:r>
        <w:rPr>
          <w:rFonts w:ascii="Kalpurush" w:cs="Kalpurush" w:eastAsia="Kalpurush" w:hAnsi="Kalpurush"/>
          <w:b/>
          <w:bCs/>
          <w:sz w:val="20"/>
          <w:szCs w:val="20"/>
        </w:rPr>
        <w:t xml:space="preserve">২. নোটিশ ব্যতিরেকে ex-parte আদেশ সম্পূর্ণ বাতিল ও শূন্য (Void ab initio):</w:t>
      </w:r>
    </w:p>
    <w:p>
      <w:pPr>
        <w:pStyle w:val="ListParagraph"/>
        <w:numPr>
          <w:ilvl w:val="0"/>
          <w:numId w:val="1"/>
        </w:numPr>
      </w:pPr>
      <w:r>
        <w:rPr>
          <w:rFonts w:ascii="Kalpurush" w:cs="Kalpurush" w:eastAsia="Kalpurush" w:hAnsi="Kalpurush"/>
          <w:sz w:val="20"/>
          <w:szCs w:val="20"/>
        </w:rPr>
        <w:t xml:space="preserve">ধারা ১৪৩A(১৩) এবং দেওয়ানি কার্যবিধি আইনের Order XLVII Rule 4(2) অনুযায়ী, রেকর্ডভুক্ত রায়ত বা সংক্ষুব্ধ পক্ষকে নোটিশ প্রদান এবং সমন জারি করা বাধ্যতামূলক। নোটিশ ব্যতিরেকে পাসকৃত যেকোনো ex-parte সংশোধন আদেশ আইনের দৃষ্টিতে শূন্য ও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৪ BLC (HD) ৪৩৮ (Osmanullah vs. Faizullah):</w:t>
      </w:r>
      <w:r>
        <w:rPr>
          <w:rFonts w:ascii="Kalpurush" w:cs="Kalpurush" w:eastAsia="Kalpurush" w:hAnsi="Kalpurush"/>
          <w:i/>
          <w:iCs/>
          <w:sz w:val="20"/>
          <w:szCs w:val="20"/>
        </w:rPr>
        <w:t xml:space="preserve"> *"An ex-parte order passed in a Miscellaneous Case under section 143A of the East Bengal State Acquisition and Tenancy Act for correction of the record of rights without due service of notices upon the recorded owners and affected parties is illegal, void, fraudulent and without jurisdiction."*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Assistant Custodian vs. Bholanath Guha, 36 DLR (AD) 79:</w:t>
      </w:r>
      <w:r>
        <w:rPr>
          <w:rFonts w:ascii="Kalpurush" w:cs="Kalpurush" w:eastAsia="Kalpurush" w:hAnsi="Kalpurush"/>
          <w:i/>
          <w:iCs/>
          <w:sz w:val="20"/>
          <w:szCs w:val="20"/>
        </w:rPr>
        <w:t xml:space="preserve"> *"An application under section 143A of the SAT Act is not a suit for declaration of title but is a proceeding for rectification of mistakes in the record of right prepared on the basis of possession... Title to the land is beyond the scope of this section."*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 যদি প্রমাণিত না হয় (যেহেতু কোনো আদেশ বা নথিপত্র বিবাদীরা দাখিল করেননি), তবে সেই Misc Case-এর ফলশ্রুতি হিসেবে দাবি করা Volume Note-ও স্বাধীনভাবে টিকিয়া থাকিতে পারে না। মূল আদেশ (Root) নোটিশ ও তদন্তের অভাবে অবৈধ ও বাতিল হলে (৪ BLC (HD) ৪৩৮), তার উপর নির্ভরশীল নোটও (Fruit) স্বয়ংক্রিয়ভাবে বাতিল ও মূল্যহীন হইয়া পড়ে (Dependent Invalidity)।</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rPr>
        <w:t xml:space="preserve"/>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AC Land-এর এখতিয়ার এবং ট্রায়াল কোর্টের Evidentiary Standard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দাবিটি খতিয়ানে কোনো সাধারণ 'করণিক ভুল' (Clerical Mistake) বা নামের বানান সংশোধনের বিষয় নহে। তাহারা দাবি করিতেছেন যে একটি চূড়ান্তভাবে প্রকাশিত রাষ্ট্র-স্বীকৃত SA খতিয়ানে নতুন অংশীদার (co-sharer) যুক্ত করা হইয়াছে এবং মূল রায়তের স্বত্ব কর্তন করা হইয়াছে।</w:t>
      </w:r>
    </w:p>
    <w:p>
      <w:r>
        <w:rPr>
          <w:rFonts w:ascii="Kalpurush" w:cs="Kalpurush" w:eastAsia="Kalpurush" w:hAnsi="Kalpurush"/>
        </w:rPr>
        <w:t xml:space="preserve"/>
      </w:r>
    </w:p>
    <w:p>
      <w:r>
        <w:rPr>
          <w:rFonts w:ascii="Kalpurush" w:cs="Kalpurush" w:eastAsia="Kalpurush" w:hAnsi="Kalpurush"/>
          <w:sz w:val="20"/>
          <w:szCs w:val="20"/>
        </w:rPr>
        <w:t xml:space="preserve">আইন অনুযায়ী, </w:t>
      </w:r>
      <w:r>
        <w:rPr>
          <w:rFonts w:ascii="Kalpurush" w:cs="Kalpurush" w:eastAsia="Kalpurush" w:hAnsi="Kalpurush"/>
          <w:b/>
          <w:bCs/>
          <w:sz w:val="20"/>
          <w:szCs w:val="20"/>
        </w:rPr>
        <w:t xml:space="preserve">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w:t>
      </w:r>
      <w:r>
        <w:rPr>
          <w:rFonts w:ascii="Kalpurush" w:cs="Kalpurush" w:eastAsia="Kalpurush" w:hAnsi="Kalpurush"/>
          <w:sz w:val="20"/>
          <w:szCs w:val="20"/>
        </w:rPr>
        <w:t xml:space="preserve"> এটি কেবল উপযুক্ত দেওয়ানি আদালতের এখতিয়ারভুক্ত।</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এখতিয়ার বহির্ভূতভাবে AC Land অফিসে লেখা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এখতিয়ার-বহির্ভূত ও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b/>
          <w:bCs/>
          <w:sz w:val="20"/>
          <w:szCs w:val="20"/>
        </w:rPr>
        <w:t xml:space="preserve">১.</w:t>
      </w:r>
      <w:r>
        <w:rPr>
          <w:rFonts w:ascii="Kalpurush" w:cs="Kalpurush" w:eastAsia="Kalpurush" w:hAnsi="Kalpurush"/>
          <w:sz w:val="20"/>
          <w:szCs w:val="20"/>
        </w:rPr>
        <w:t xml:space="preserve"> সখিপুর সিভিল জজ আদালতের ০৫/০৪/২০২৬ তারিখের রায় ও ০৯/০৪/২০২৬ তারিখের ডিক্রি </w:t>
      </w:r>
      <w:r>
        <w:rPr>
          <w:rFonts w:ascii="Kalpurush" w:cs="Kalpurush" w:eastAsia="Kalpurush" w:hAnsi="Kalpurush"/>
          <w:b/>
          <w:bCs/>
          <w:sz w:val="20"/>
          <w:szCs w:val="20"/>
        </w:rPr>
        <w:t xml:space="preserve">বাতিল</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২.</w:t>
      </w:r>
      <w:r>
        <w:rPr>
          <w:rFonts w:ascii="Kalpurush" w:cs="Kalpurush" w:eastAsia="Kalpurush" w:hAnsi="Kalpurush"/>
          <w:sz w:val="20"/>
          <w:szCs w:val="20"/>
        </w:rPr>
        <w:t xml:space="preserve"> আপীলটি </w:t>
      </w:r>
      <w:r>
        <w:rPr>
          <w:rFonts w:ascii="Kalpurush" w:cs="Kalpurush" w:eastAsia="Kalpurush" w:hAnsi="Kalpurush"/>
          <w:b/>
          <w:bCs/>
          <w:sz w:val="20"/>
          <w:szCs w:val="20"/>
        </w:rPr>
        <w:t xml:space="preserve">মঞ্জুর</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৩.</w:t>
      </w:r>
      <w:r>
        <w:rPr>
          <w:rFonts w:ascii="Kalpurush" w:cs="Kalpurush" w:eastAsia="Kalpurush" w:hAnsi="Kalpurush"/>
          <w:sz w:val="20"/>
          <w:szCs w:val="20"/>
        </w:rPr>
        <w:t xml:space="preserve"> এস.এ. ২৩৮ নং খতিয়ানের একক রায়ত আব্দুল আলীর প্রমাণিত সম্পত্তিতে আপীল্যান্ট/বাদীপক্ষ ও ১নং রেসপন্ডেন্ট/বিবাদীর অনুকূলে তাহাদের স্ব স্ব আইনানুগ হিস্যা অনুযায়ী </w:t>
      </w:r>
      <w:r>
        <w:rPr>
          <w:rFonts w:ascii="Kalpurush" w:cs="Kalpurush" w:eastAsia="Kalpurush" w:hAnsi="Kalpurush"/>
          <w:b/>
          <w:bCs/>
          <w:sz w:val="20"/>
          <w:szCs w:val="20"/>
        </w:rPr>
        <w:t xml:space="preserve">বাটোয়ারার প্রাথমিক ডিক্রি (Preliminary Decree)</w:t>
      </w:r>
      <w:r>
        <w:rPr>
          <w:rFonts w:ascii="Kalpurush" w:cs="Kalpurush" w:eastAsia="Kalpurush" w:hAnsi="Kalpurush"/>
          <w:sz w:val="20"/>
          <w:szCs w:val="20"/>
        </w:rPr>
        <w:t xml:space="preserve"> প্রদান করা হোক।</w:t>
      </w:r>
    </w:p>
    <w:p>
      <w:r>
        <w:rPr>
          <w:rFonts w:ascii="Kalpurush" w:cs="Kalpurush" w:eastAsia="Kalpurush" w:hAnsi="Kalpurush"/>
        </w:rPr>
        <w:t xml:space="preserve"/>
      </w:r>
    </w:p>
    <w:p>
      <w:r>
        <w:rPr>
          <w:rFonts w:ascii="Kalpurush" w:cs="Kalpurush" w:eastAsia="Kalpurush" w:hAnsi="Kalpurush"/>
          <w:b/>
          <w:bCs/>
          <w:sz w:val="20"/>
          <w:szCs w:val="20"/>
        </w:rPr>
        <w:t xml:space="preserve">৪.</w:t>
      </w:r>
      <w:r>
        <w:rPr>
          <w:rFonts w:ascii="Kalpurush" w:cs="Kalpurush" w:eastAsia="Kalpurush" w:hAnsi="Kalpurush"/>
          <w:sz w:val="20"/>
          <w:szCs w:val="20"/>
        </w:rPr>
        <w:t xml:space="preserve"> মামলার সমস্ত খরচ বিবাদীপক্ষকে বহনের আদেশ দেওয়া হোক।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4 BLC (HD) 438</w:t>
            </w:r>
          </w:p>
        </w:tc>
        <w:tc>
          <w:p>
            <w:r>
              <w:rPr>
                <w:rFonts w:ascii="Kalpurush" w:cs="Kalpurush" w:eastAsia="Kalpurush" w:hAnsi="Kalpurush"/>
                <w:sz w:val="20"/>
                <w:szCs w:val="20"/>
              </w:rPr>
              <w:t xml:space="preserve">Section 143A-এর কথিত ex parte সংশোধন নোটিশ ও তদন্ত ছাড়া অবৈধ ও void ab initio</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36 DLR (AD) 79</w:t>
            </w:r>
          </w:p>
        </w:tc>
        <w:tc>
          <w:p>
            <w:r>
              <w:rPr>
                <w:rFonts w:ascii="Kalpurush" w:cs="Kalpurush" w:eastAsia="Kalpurush" w:hAnsi="Kalpurush"/>
                <w:sz w:val="20"/>
                <w:szCs w:val="20"/>
              </w:rPr>
              <w:t xml:space="preserve">Section 143A-এর পরিধি দখল সংশোধনে সীমাবদ্ধ, স্বত্ব নির্ধারণে নহে</w:t>
            </w:r>
          </w:p>
        </w:tc>
      </w:tr>
      <w:tr>
        <w:tc>
          <w:p>
            <w:r>
              <w:rPr>
                <w:rFonts w:ascii="Kalpurush" w:cs="Kalpurush" w:eastAsia="Kalpurush" w:hAnsi="Kalpurush"/>
                <w:sz w:val="20"/>
                <w:szCs w:val="20"/>
              </w:rPr>
              <w:t xml:space="preserve">१२</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১৫</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১৬</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2026-06-24T10:16:57.978Z</dcterms:created>
  <dcterms:modified xsi:type="dcterms:W3CDTF">2026-06-24T10:16:57.978Z</dcterms:modified>
</cp:coreProperties>
</file>

<file path=docProps/custom.xml><?xml version="1.0" encoding="utf-8"?>
<Properties xmlns="http://schemas.openxmlformats.org/officeDocument/2006/custom-properties" xmlns:vt="http://schemas.openxmlformats.org/officeDocument/2006/docPropsVTypes"/>
</file>