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rFonts w:ascii="Kalpurush" w:cs="Kalpurush" w:eastAsia="Kalpurush" w:hAnsi="Kalpurush"/>
          <w:sz w:val="20"/>
          <w:szCs w:val="20"/>
        </w:rPr>
        <w:t xml:space="preserve">জেলা জজ আদালত, টাঙ্গাইল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আপীল মামলা নং ৩৮/২০২৬</w:t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(বাটোয়ারা মামলা নং ৬৬/২০১৬, সখিপুর সিভিল জজ আদালত হইতে উদ্ভূত)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হাতেম আলী ও অন্যান্য (আপীল্যান্ট/বাদী)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বনাম</w:t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আলহাজ উদ্দিন ও অন্যান্য (রেসপন্ডেন্ট/বিবাদী)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1"/>
        <w:jc w:val="center"/>
      </w:pPr>
      <w:r>
        <w:rPr>
          <w:rFonts w:ascii="Kalpurush" w:cs="Kalpurush" w:eastAsia="Kalpurush" w:hAnsi="Kalpurush"/>
          <w:sz w:val="20"/>
          <w:szCs w:val="20"/>
        </w:rPr>
        <w:t xml:space="preserve">আপীল্যান্টপক্ষের অতিরিক্ত/পরিপূরক লিখিত যুক্তিতর্ক</w:t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Version 92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মহামান্য আদালতের সদয় অবগতির জন্য নিবেদন এই যে, আপীল মেমোরিয়ালে উত্থাপিত grounds-সমূহের ধারাবাহিকতায় নিম্নোক্ত বিষয়সমূহ বিশেষভাবে বিবেচনার দাবি রাখে।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১. মামলার প্রকৃত প্রশ্ন: “কে রায়ত ছিলেন?”—এই প্রশ্নের উত্তর রেকর্ডের ধারাবাহিকতায় খুঁজিতে হইবে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মহামান্য আদালত,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এই মামলায় বিবাদীপক্ষের বক্তব্য গ্রহণ করিতে গেলে প্রথমেই একটি foundational প্রশ্নের উত্তর দিতে হয়: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আব্দুল করিম কীভাবে এবং কোন বৈধ দলিল বা সরকারি রেকর্ডের মাধ্যমে নালিশী জমির রায়ত হইলেন?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এই প্রশ্নটি এড়িয়ে সরাসরি পরবর্তী উত্তরাধিকার বা ১৯৬৯ সালের কথিত সংশোধনে যাওয়া যায় না।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কারণ, বিবাদীপক্ষের সম্পূর্ণ দাবি দাঁড়িয়ে আছে এই proposition-এর উপর যে—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আব্দুল করিম → প্রজা → মৃত্যুর পর উত্তরাধিকার → সোনাভানু → পরবর্তী হস্তান্তর।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অতএব, chain-এর প্রথম link-টিই যদি নির্ভরযোগ্য প্রমাণে প্রতিষ্ঠিত না হয়, পরবর্তী link-গুলির উপর দাঁড়িয়ে title প্রতিষ্ঠা করা কঠিন হয়ে পড়ে।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২. CS রেকর্ডে ব্যক্তিগত রায়ত না থাকা—পরবর্তী SA রেকর্ড বোঝার ক্ষেত্রে গুরুত্বপূর্ণ corroborative circumstance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নালিশী সম্পত্তির পূর্ববর্তী CS রেকর্ডে জমি ব্যক্তিগত রায়তি নামে রেকর্ডভুক্ত ছিল না; বরং নবাব এস্টেটের খাস হিসেবে প্রতিফলিত ছিল—এই fact-টি মামলার title history বোঝার ক্ষেত্রে অত্যন্ত গুরুত্বপূর্ণ।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এখানে আপীল্যান্টদের বক্তব্য এই নয় যে—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“CS record একাই title সৃষ্টি বা ধ্বংস করে।”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বরং বক্তব্যটি আরও সীমিত ও সুনির্দিষ্ট: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যখন CS record-এ কোনো ব্যক্তিগত raiyat নেই, এবং বিবাদীপক্ষ পরবর্তীতে সেই ব্যক্তির নামে tenancy সৃষ্টি হওয়ার কোনো নির্ভরযোগ্য foundational document দেখাতে পারেন না, তখন পরবর্তী State Acquisition পর্যায়ে সরকারি record-এ কার নাম রায়ত হিসেবে স্বীকৃত হয়েছে—সেটি title history নির্ণয়ের জন্য অত্যন্ত গুরুত্বপূর্ণ evidence।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অর্থাৎ—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CS → State Acquisition → SA Record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এই historical sequence আদালতের সামনে বিচ্ছিন্নভাবে নয়, ধারাবাহিকভাবে দেখতে হবে।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৩. যদি ১৯৩৪ সালের পত্তন সত্যিই হয়ে থাকে, তবে সেই পত্তনের সরকারি trace কোথায়?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বিবাদীপক্ষের মূল বক্তব্যের ভিত্তি ১৯৩৪ সালের কথিত পত্তন।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কিন্তু আদালতের সামনে প্রশ্নটি হওয়া উচিত: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একটি কথিত বৈধ tenancy-এর documentary footprint কোথায়?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যেমন—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পাট্টা;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কবুলিয়ত;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অনুমোদিত settlement document;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সংশ্লিষ্ট estate record;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পরবর্তী সরকারি record-এ তার ধারাবাহিক প্রতিফলন;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অথবা এমন কোনো নির্ভরযোগ্য primary evidence, যাহা দ্বারা tenancy প্রতিষ্ঠিত হয়।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আমাদের বক্তব্য সম্পূর্ণ ভিন্ন: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বিবাদীপক্ষ যে tenancy-কে তাদের title-এর foundation বলছে, সেই tenancy-র foundational documentary evidence আদালতে কোথায়?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এবং এই প্রশ্নটির উত্তর না দিয়ে SA record-কে ভুল বলা হলে reasoning-এর burden উল্টো হয়ে যায়।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৪. SA ২৩৮ নং খতিয়ান—একটি isolated document নয়, State Acquisition-এর ফল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SA ২৩৮ নং খতিয়ানে আব্দুল আলীর নাম এককভাবে রেকর্ডভুক্ত হওয়া এই মামলার একটি গুরুত্বপূর্ণ documentary circumstance।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বিশেষত—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1.  পূর্ববর্তী CS record-এ ব্যক্তিগত raiyat হিসেবে আব্দুল করিমের নাম নেই;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2.  বিবাদীপক্ষ কথিত pre-SA tenancy-এর শক্তিশালী foundational document দেখাতে পারেনি;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3.  State Acquisition পরবর্তী SA record-এ আব্দুল আলীর নাম এসেছে;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4.  সেই SA record দীর্ঘদিন জেলা রেকর্ড রুমে অপরিবর্তিত রয়েছে;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5.  পরবর্তী registered transaction-ও আব্দুল আলীর নামের সঙ্গে সামঞ্জস্যপূর্ণ।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সুতরাং SA record-কে শুধু “একটি খতিয়ান” হিসেবে দেখলে মামলার evidentiary chain-এর গুরুত্বপূর্ণ অংশ বাদ পড়ে যায়।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৫. SA record-এর presumption ভাঙার দায় কার?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এই জায়গাটিই আপিলের কেন্দ্রীয় legal issue।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চূড়ান্ত প্রকাশিত record of rights-এর statutory presumption থাকিলে, সেটি challenge করা পক্ষকে প্রথমে দেখাতে হবে—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কেন record ভুল?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আর যদি বলা হয়—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“১৯৬৯ সালের একটি proceeding-এর মাধ্যমে record পরিবর্তিত হয়েছিল”,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তাহলে দ্বিতীয় প্রশ্ন: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সেই proceeding-এর মূল সরকারি নথি কোথায়?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অর্থাৎ বিবাদীপক্ষকে দুটি independent proposition establish করতে হয়: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প্রথমত: SA record কেন ভুল ছিল।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দ্বিতীয়ত: কোন বৈধ proceeding-এর মাধ্যমে সেই ভুল সংশোধিত হয়েছিল।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শুধু একটি পরবর্তী volume entry দেখিয়ে প্রথম প্রশ্নের উত্তর দেওয়া যায় না; আর foundational proceeding না দেখিয়ে দ্বিতীয় প্রশ্নের উত্তর দেওয়াও সম্ভব নয়।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এই burden-এর প্রশ্নে </w:t>
      </w:r>
      <w:r>
        <w:rPr>
          <w:rFonts w:ascii="Kalpurush" w:cs="Kalpurush" w:eastAsia="Kalpurush" w:hAnsi="Kalpurush"/>
          <w:b/>
          <w:bCs/>
          <w:sz w:val="20"/>
          <w:szCs w:val="20"/>
        </w:rPr>
        <w:t xml:space="preserve">45 DLR (AD) 124 (Nuruddin Ahmed vs. Md. Jaman)</w:t>
      </w:r>
      <w:r>
        <w:rPr>
          <w:rFonts w:ascii="Kalpurush" w:cs="Kalpurush" w:eastAsia="Kalpurush" w:hAnsi="Kalpurush"/>
          <w:sz w:val="20"/>
          <w:szCs w:val="20"/>
        </w:rPr>
        <w:t xml:space="preserve">-এর সিদ্ধান্ত ব্যবহার করা আবশ্যক, যাহা প্রমাণ করে যে record-of-rights-এর presumption খণ্ডনের প্রাথমিক দায়ভার যাহার উপরে, তাহাকে cogent evidence উপস্থাপন করিতে হয়।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b/>
          <w:bCs/>
          <w:i/>
          <w:iCs/>
          <w:sz w:val="20"/>
          <w:szCs w:val="20"/>
        </w:rPr>
        <w:t xml:space="preserve">[45 DLR (AD) 124]:</w:t>
      </w: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 *"A trial court sometimes confuses 'plaintiff must prove' with 'plaintiff must disprove every counter-assertion'. This is erroneous."*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৬. ১৯৬৯ সালের Misc Case 1181—এখানেই বিবাদীপক্ষের সবচেয়ে বড় evidentiary gap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বিবাদীপক্ষের পুরো correction theory-এর ভিত্তি হলো কথিত Misc Case No. 1181 of 1969।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কিন্তু সেই proceeding-এর—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application/plaint;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order sheet;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judgment;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certified copy;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সংশ্লিষ্ট proceeding file;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parties-এর বক্তব্য;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notice/service;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অথবা final order—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আদালতে যথাযথভাবে উপস্থাপিত হয়েছে কি না—সেটিই decisive প্রশ্ন।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একটি consequential entry-এর অস্তিত্ব parent proceeding-এর অস্তিত্বের বিকল্প নয়।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বরং যুক্তির স্বাভাবিক ধারাটি হওয়া উচিত: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Parent proceeding → valid order → lawful implementation → corrected record.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কিন্তু এখানে যদি থাকে কেবল—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Volume entry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এবং parent proceeding-এর primary record অনুপস্থিত থাকে, তবে court-এর সামনে consequential entry-এর legal foundation পরীক্ষা করার সুযোগই থাকে পরিচয়।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৭. “Misc Case-এ order হয়েছিল”—এই বক্তব্য আর “title আইনগতভাবে adjudicate হয়েছিল”—এক কথা নয়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এখানে একটি subtle কিন্তু গুরুত্বপূর্ণ distinction আছে।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বিবাদীপক্ষ যদি কোনো Misc Case-এর existence প্রমাণও করত, তবুও আদালতকে আলাদাভাবে দেখতে হতো: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উক্ত proceeding-এর nature কী ছিল এবং সেই proceeding-এ title adjudication করার jurisdiction ছিল কি না?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কারণ কোনো proceeding-এর নাম “Misc Case” হলেই সেটি স্বয়ংক্রিয়ভাবে title adjudication-এর proceeding হয়ে যায় না।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আর যদি উক্ত proceeding-এ একজন recorded raiyat-এর vested interest পরিবর্তন করে নতুন ব্যক্তিকে tenancy/title-এর অংশীদার করা হয়ে থাকে, তাহলে সেই পরিবর্তনের jurisdictional এবং procedural foundation প্রমাণ করা আবশ্যক।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এই প্রশ্নে </w:t>
      </w:r>
      <w:r>
        <w:rPr>
          <w:rFonts w:ascii="Kalpurush" w:cs="Kalpurush" w:eastAsia="Kalpurush" w:hAnsi="Kalpurush"/>
          <w:b/>
          <w:bCs/>
          <w:sz w:val="20"/>
          <w:szCs w:val="20"/>
        </w:rPr>
        <w:t xml:space="preserve">27 BLD 544</w:t>
      </w:r>
      <w:r>
        <w:rPr>
          <w:rFonts w:ascii="Kalpurush" w:cs="Kalpurush" w:eastAsia="Kalpurush" w:hAnsi="Kalpurush"/>
          <w:sz w:val="20"/>
          <w:szCs w:val="20"/>
        </w:rPr>
        <w:t xml:space="preserve">-এর সিদ্ধান্ত প্রণিধানযোগ্য, যেখানে বলা হইয়াছে যে administrative revenue officer-এর title adjudication-এর jurisdiction নাই।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b/>
          <w:bCs/>
          <w:i/>
          <w:iCs/>
          <w:sz w:val="20"/>
          <w:szCs w:val="20"/>
        </w:rPr>
        <w:t xml:space="preserve">[27 BLD 544]:</w:t>
      </w: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 *"Revenue officer has no jurisdiction to decide the question of title."*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৮. সবচেয়ে গুরুত্বপূর্ণ: alleged correction সামান্য clerical correction নয়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মহামান্য আদালত,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যদি কোনো volume-এ—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একটি নামের বানান ভুল সংশোধন করা হতো,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তাহলে সেটি clerical correction-এর প্রশ্ন হতে পারত।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কিন্তু এখানে alleged correction-এর effect যদি হয়—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একজন recorded raiyat-এর পরিবর্তে/সঙ্গে অন্য ব্যক্তিকে tenancy interest-এর অংশীদার হিসেবে যুক্ত করা,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তাহলে এটি নিছক clerical correction নয়।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এটি substantive interest-এর প্রশ্ন।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সুতরাং আদালতের সামনে প্রশ্ন হওয়া উচিত: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একজন revenue officer-এর একটি volume note কি substantive title/tenancy interest সৃষ্টি বা পরিবর্তনের আইনগত source হতে পারে?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এই point-টি </w:t>
      </w:r>
      <w:r>
        <w:rPr>
          <w:rFonts w:ascii="Kalpurush" w:cs="Kalpurush" w:eastAsia="Kalpurush" w:hAnsi="Kalpurush"/>
          <w:b/>
          <w:bCs/>
          <w:sz w:val="20"/>
          <w:szCs w:val="20"/>
        </w:rPr>
        <w:t xml:space="preserve">53 DLR 19</w:t>
      </w:r>
      <w:r>
        <w:rPr>
          <w:rFonts w:ascii="Kalpurush" w:cs="Kalpurush" w:eastAsia="Kalpurush" w:hAnsi="Kalpurush"/>
          <w:sz w:val="20"/>
          <w:szCs w:val="20"/>
        </w:rPr>
        <w:t xml:space="preserve"> এবং </w:t>
      </w:r>
      <w:r>
        <w:rPr>
          <w:rFonts w:ascii="Kalpurush" w:cs="Kalpurush" w:eastAsia="Kalpurush" w:hAnsi="Kalpurush"/>
          <w:b/>
          <w:bCs/>
          <w:sz w:val="20"/>
          <w:szCs w:val="20"/>
        </w:rPr>
        <w:t xml:space="preserve">29 BLC 160</w:t>
      </w:r>
      <w:r>
        <w:rPr>
          <w:rFonts w:ascii="Kalpurush" w:cs="Kalpurush" w:eastAsia="Kalpurush" w:hAnsi="Kalpurush"/>
          <w:sz w:val="20"/>
          <w:szCs w:val="20"/>
        </w:rPr>
        <w:t xml:space="preserve">-এর সহিত ধারাবাহিকভাবে উপস্থাপন করা যায়, যেখানে স্পষ্ট করা হইয়াছে যে mutation/correction-এর মাধ্যমে substantive title সৃষ্ট বা খর্ব হয় না।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b/>
          <w:bCs/>
          <w:i/>
          <w:iCs/>
          <w:sz w:val="20"/>
          <w:szCs w:val="20"/>
        </w:rPr>
        <w:t xml:space="preserve">[53 DLR 19]:</w:t>
      </w: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 *"Mutation does not confer any title, nor does its cancellation extinguish any title."*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&gt;</w:t>
      </w:r>
    </w:p>
    <w:p>
      <w:pPr>
        <w:ind w:left="720"/>
      </w:pPr>
      <w:r>
        <w:rPr>
          <w:rFonts w:ascii="Kalpurush" w:cs="Kalpurush" w:eastAsia="Kalpurush" w:hAnsi="Kalpurush"/>
          <w:b/>
          <w:bCs/>
          <w:i/>
          <w:iCs/>
          <w:sz w:val="20"/>
          <w:szCs w:val="20"/>
        </w:rPr>
        <w:t xml:space="preserve">[29 BLC 160]:</w:t>
      </w: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 *"Correction of record of rights does not create any title in favour of a person in whose name the record of rights is corrected."*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৯. AC Land volume এবং District Record Room—দুইটি document-কে সমান ওজন দেওয়া যায় না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এখানে একটি সম্ভাব্য factual misunderstanding পরিষ্কার করা অত্যন্ত জরুরি।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AC Land-এর volume এবং District Record Room-এর preserved settlement record একই nature-এর document—এমন ধরে নেওয়া ঠিক নয়।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আপীল্যান্টদের বক্তব্য: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মহামান্য আদালত যদি AC Land-এর volume-কে মূল জেলা Settlement Record Room-এর statutory record-এর সমপর্যায়ের original record হিসেবে বিবেচনা করে থাকেন, তবে সেটি record-এর provenance ও evidentiary status পুনরায় পরীক্ষা করার দাবি রাখে।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কারণ: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কোন office-এর custody-তে document?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সেটি original না working copy?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entry কখন করা হয়েছে?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কে করেছেন?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কোন proceeding-এর ভিত্তিতে করেছেন?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parent file কোথায়?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alteration-এর supporting order কোথায়?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— এই প্রশ্নগুলোর উত্তর ছাড়া শুধু volume-এ একটি entry থাকা যথেষ্ট নয়।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বিশেষ করে DW-4 যদি entry-এর handwriting/ink/কারণ/parent file শনাক্ত বা ব্যাখ্যা করতে না পারেন, তাহলে entry-এর evidentiary weight স্বাভাবিকভাবেই প্রশ্নের মুখে পড়ে। এখানে </w:t>
      </w:r>
      <w:r>
        <w:rPr>
          <w:rFonts w:ascii="Kalpurush" w:cs="Kalpurush" w:eastAsia="Kalpurush" w:hAnsi="Kalpurush"/>
          <w:b/>
          <w:bCs/>
          <w:sz w:val="20"/>
          <w:szCs w:val="20"/>
        </w:rPr>
        <w:t xml:space="preserve">53 DLR 19</w:t>
      </w:r>
      <w:r>
        <w:rPr>
          <w:rFonts w:ascii="Kalpurush" w:cs="Kalpurush" w:eastAsia="Kalpurush" w:hAnsi="Kalpurush"/>
          <w:sz w:val="20"/>
          <w:szCs w:val="20"/>
        </w:rPr>
        <w:t xml:space="preserve"> সরাসরি কার্যকর।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b/>
          <w:bCs/>
          <w:i/>
          <w:iCs/>
          <w:sz w:val="20"/>
          <w:szCs w:val="20"/>
        </w:rPr>
        <w:t xml:space="preserve">[53 DLR 19]:</w:t>
      </w: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 *"If an order of mutation is passed without any legal basis, such order is a nullity in the eye of law."*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১০. “বেলুয়া” প্রসঙ্গটি অত্যন্ত গুরুত্বপূর্ণ corroborative contradiction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এটি আলাদা করে জোর দেওয়া উচিত।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বিবাদীপক্ষের case theory অনুযায়ী যদি—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আব্দুল করিম → তাঁর উত্তরাধিকারীগণ → সোনাভানু/বেলুয়া প্রমুখ → বিবাদীদের title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হয়ে থাকে,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তাহলে প্রশ্ন: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যে বেলুয়ার কাছ থেকে বিবাদীপক্ষ দলিল গ্রহণ করেছে, সেই বেলুয়ার কথিত উত্তরাধিকারসূত্রের ভিত্তি কোথায়?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আরও গুরুত্বপূর্ণ: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যদি বেলুয়া একই alleged correction-এর মাধ্যমে স্বত্বপ্রাপ্ত উত্তরাধিকারী হন, তবে সেই correction record-এ তাঁর অবস্থান কোথায়?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যদি—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সোনাভানুর নাম আছে,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কিন্তু বেলুয়ার নাম নেই,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অথচ পরবর্তী দলিলে বেলুয়া transferor,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এবং বিবাদীপক্ষ আবার বেলুয়ার title-এর উপর নির্ভর করে,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তাহলে একটি গুরুত্বপূর্ণ evidentiary contradiction তৈরি হয়।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এখানে আদালতের কাছে আমাদের প্রশ্নটি “বেলুয়া অবশ্যই মালিক ছিলেন না” নয়।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বরং: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বিবাদীপক্ষের নিজের title theory-র সঙ্গে বেলুয়ার documentary status কীভাবে সামঞ্জস্যপূর্ণ—তাহা তাঁহারাই ব্যাখ্যা করবেন।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এটি burden-shifting-এর একটি শক্তিশালী factual point।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১১. ১৯৭৫ সালের ৩৫৯৬ নং দলিল—নিজেদের documentary case-এর বিরুদ্ধে একটি গুরুত্বপূর্ণ circumstance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বিবাদীপক্ষের ১৯৭৫ সালের registered deed-টি বিশেষ গুরুত্ব বহন করে।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কারণ বিবাদীপক্ষ একদিকে alleged 1969 correction-এর একটি নির্দিষ্ট ফলাফল দাবি করছে, অন্যদিকে তাদের নিজেদের 1975 সালের registered deed-এ SA 238-এর অধীনে একাধিক দাগের বর্ণনা রয়েছে।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এখানে আপীল্যান্টদের প্রশ্ন খুব সরল: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১৯৬৯ সালের alleged correction যদি সত্যিই SA 238-এর property description-কে এক দাগে সীমিত করে থাকে, তাহলে 1975 সালের নিজেদের registered deed-এ ছয়টি দাগের description-এর ভিত্তি কী?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এটি সরাসরি Evidence Act-এর admission principle এবং documentary inconsistency-এর প্রশ্ন।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১২. ১৯৬৯ সালের correction theory-এর আরেকটি দুর্বলতা: কেন কেবল একজন?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বিবাদীপক্ষের succession theory যদি আব্দুল করিমের উত্তরাধিকারসূত্রের উপর দাঁড়ায়, তাহলে আদালতের স্বাভাবিক প্রশ্ন: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একই succession event-এর ফলে কেন কেবল সোনাভানুর নাম প্রতিফলিত হলো?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বিশেষত যদি record ও pleadings অনুযায়ী অন্যান্য উত্তরাধিকারী/কন্যা বা তাঁদের successor-এর অস্তিত্ব থাকে।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এখানে প্রশ্নটি সরাসরি inheritance determination নয়।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প্রশ্নটি হলো: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একটি কথিত judicial/official correction order-এর বাস্তবতা পরীক্ষা করার জন্য তার alleged result কি succession theory-এর সঙ্গে logically consistent?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যদি না হয়, তাহলে missing parent order-এর গুরুত্ব আরও বৃদ্ধি পায়।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১৩. “Missing document” এখানে peripheral নয়—এটাই foundational document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সাধারণত কোনো ancillary document না থাকলে আদালত অন্য evidence দিয়ে বিষয়টি বিচার করতে পারেন।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কিন্তু এই মামলায় alleged Misc Case order-টি ancillary নয়।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ওটাই correction-এর source।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তাই যুক্তির কাঠামো: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SA record → correction alleged → correction-এর source = Misc Case order → order produced নয় → correction-এর legal foundation unproved.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এখানে </w:t>
      </w:r>
      <w:r>
        <w:rPr>
          <w:rFonts w:ascii="Kalpurush" w:cs="Kalpurush" w:eastAsia="Kalpurush" w:hAnsi="Kalpurush"/>
          <w:b/>
          <w:bCs/>
          <w:sz w:val="20"/>
          <w:szCs w:val="20"/>
        </w:rPr>
        <w:t xml:space="preserve">53 DLR 19</w:t>
      </w:r>
      <w:r>
        <w:rPr>
          <w:rFonts w:ascii="Kalpurush" w:cs="Kalpurush" w:eastAsia="Kalpurush" w:hAnsi="Kalpurush"/>
          <w:sz w:val="20"/>
          <w:szCs w:val="20"/>
        </w:rPr>
        <w:t xml:space="preserve"> এবং </w:t>
      </w:r>
      <w:r>
        <w:rPr>
          <w:rFonts w:ascii="Kalpurush" w:cs="Kalpurush" w:eastAsia="Kalpurush" w:hAnsi="Kalpurush"/>
          <w:b/>
          <w:bCs/>
          <w:sz w:val="20"/>
          <w:szCs w:val="20"/>
        </w:rPr>
        <w:t xml:space="preserve">1 BLT 18</w:t>
      </w:r>
      <w:r>
        <w:rPr>
          <w:rFonts w:ascii="Kalpurush" w:cs="Kalpurush" w:eastAsia="Kalpurush" w:hAnsi="Kalpurush"/>
          <w:sz w:val="20"/>
          <w:szCs w:val="20"/>
        </w:rPr>
        <w:t xml:space="preserve">-এর propositions ব্যবহার করে volume entry-এর evidentiary weakness দেখানো যায়।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b/>
          <w:bCs/>
          <w:i/>
          <w:iCs/>
          <w:sz w:val="20"/>
          <w:szCs w:val="20"/>
        </w:rPr>
        <w:t xml:space="preserve">[1 BLT 18]:</w:t>
      </w: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 *"Where the parent document/order is not produced, secondary evidence or consequential entry carries no evidentiary value to prove title."*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১৪. আব্দুল আলীর পরবর্তী registered transaction—স্বাধীন corroboration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১৯৫৭ সালের ২৩৯৮ নং registered deed-এ আব্দুল আলীর মাধ্যমে SA ২৩৮-সংক্রান্ত সম্পত্তির transaction হওয়াটিও আদালতের বিবেচনার দাবি রাখে।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এটি একা SA record-এর title সৃষ্টি করে—এমন দাবি আমরা করছি না।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বরং: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SA record-এ আব্দুল আলীর নাম + পরবর্তী registered transaction-এ তাঁর recorded identity—এই দুইটি circumstance একই direction-এ যায়।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অন্যদিকে বিবাদীপক্ষের title theory-তে যে foundational tenancy এবং correction-এর উপর নির্ভর করা হচ্ছে, তার primary documentary chain অনুপস্থিত।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এই contrast-টি আদালতের কাছে গুরুত্বপূর্ণ।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১৫. একই দাগে পৃথক খতিয়ান থাকলে পুরো দাগকে hotchpot-এ টানার যুক্তি গ্রহণযোগ্য নয়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এখানে Trial Court-এর hotchpot reasoning-কে factual structure দিয়ে counter করা উচিত।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আমাদের অবস্থান: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দাগ একই হতে পারে; কিন্তু খতিয়ান/tenancy identity একই হওয়া আবশ্যক নয়।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যদি একই দাগের মধ্যে—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1.  SA 238-এর ব্যক্তিগত tenancy;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2.  Government-এর পৃথক khatian;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3.  এবং Government অংশের উপর plaintiffs কোনো title/partition relief দাবি না করে,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তাহলে partition-এর subject matter নির্ধারণ করতে হবে claimed co-sharers-এর title এবং relevant tenancy-এর extent অনুযায়ী।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অন্য khatian-এর Government land-কে plaintiffs নিজেদের partition property হিসেবে দাবি করছেন না।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সুতরাং প্রশ্ন: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যে জমির উপর কোনো share দাবি করা হয়নি, সেটিকে বাদ দেওয়াই কি hotchpot defect সৃষ্টি করে?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এই প্রশ্নের উত্তর “হ্যাঁ” হতে হলে আগে দেখাতে হবে যে উক্ত Government land একই joint tenancy-এর অবিচ্ছেদ্য অংশ।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যদি পৃথক khatian ও পৃথক Government status বিদ্যমান থাকে, তাহলে সেই factual foundation অনুপস্থিত।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১৬. সরকারকে party করার প্রশ্নেও relief-based test প্রয়োগ করা উচিত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সরকারকে কেবল এই কারণে necessary party করা যাবে না যে একই dag number-এর মধ্যে Government land আছে।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প্রথমে দেখতে হবে: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বাদীপক্ষ সরকারের বিরুদ্ধে কোনো declaration, recovery, partition বা অন্য substantive relief চেয়েছে কি না?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যদি না চেয়ে থাকে এবং Government land partition-এর subject matter-ও না হয়, তাহলে Government-এর interest adjudicate করার প্রয়োজন কোথায়?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non-joinder-এর প্রশ্নটি title issue-এর ফল নয়; বরং relief এবং subject matter-এর উপর নির্ভরশীল।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b/>
          <w:bCs/>
          <w:i/>
          <w:iCs/>
          <w:sz w:val="20"/>
          <w:szCs w:val="20"/>
        </w:rPr>
        <w:t xml:space="preserve">[49 DLR (AD) 15]:</w:t>
      </w: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 *"Non-joinder of a party against whom no relief is claimed is not fatal to the suit."*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১৭. ১নং বিবাদীর অবস্থানও আদালতের সামগ্রিক discretionary assessment-এ বিবেচ্য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যদি ১নং বিবাদী আব্দুল আলীর নিজ পুত্র হয়ে থাকেন এবং তিনি compromise/solenama-এর মাধ্যমে partition-এ সম্মতি দিয়ে থাকেন, তাহলে তাঁর conduct-টি সম্পূর্ণ উপেক্ষা করা উচিত নয়।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তবে এটিকে স্বয়ংক্রিয় title admission বলা উচিত নয়।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বরং বলা উচিত: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তিনি যদি নিজেকে আব্দুল আলীর উত্তরাধিকারী হিসেবে স্বীকার করে partition proceeding-এ অংশগ্রহণ ও সমঝোতায় সম্মতি দিয়ে থাকেন, তবে সেই conduct অন্যান্য documentary evidence-এর সঙ্গে মিলিয়ে বিচার করা প্রয়োজন ছিল।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এতে argumentটি অনেক বেশি measured থাকবে।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১৮. Trial Court-এর reasoning-এর মূল সমস্যা: একাধিক weak circumstance-কে একত্র করে missing foundation পূরণ করা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মহামান্য আদালত,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বিবাদীপক্ষের case-এ যদি—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pre-SA tenancy-এর primary document নেই;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alleged Misc Case order নেই;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correction proceeding-এর parent file নেই;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volume entry-এর authorship/authority পরিষ্কার নয়;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correction-এর ফলাফল succession theory-এর সঙ্গে সম্পূর্ণ consistent নয়;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1975 deed-এর সঙ্গে documentary contradiction আছে;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তাহলে এই সব দুর্বল circumstance-কে একত্র করে একটি শক্তিশালী title তৈরি করা যায় না।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Missing foundation cannot be supplied by multiplication of weak circumstances.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এটাই Trial Court-এর reasoning-এর মৌলিক দুর্বলতা।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১৯. আপিলের সবচেয়ে সংক্ষিপ্ত formulation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মহামান্য আদালত চাইলে এই মামলাটিকে মাত্র চারটি প্রশ্নে সীমাবদ্ধ করতে পারেন: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প্রশ্ন–১:</w:t>
      </w:r>
      <w:r>
        <w:rPr>
          <w:rFonts w:ascii="Kalpurush" w:cs="Kalpurush" w:eastAsia="Kalpurush" w:hAnsi="Kalpurush"/>
          <w:sz w:val="20"/>
          <w:szCs w:val="20"/>
        </w:rPr>
        <w:t xml:space="preserve"> আব্দুল করিমের alleged root tenancy-এর নির্ভরযোগ্য foundational evidence কোথায়?</w:t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প্রশ্ন–২:</w:t>
      </w:r>
      <w:r>
        <w:rPr>
          <w:rFonts w:ascii="Kalpurush" w:cs="Kalpurush" w:eastAsia="Kalpurush" w:hAnsi="Kalpurush"/>
          <w:sz w:val="20"/>
          <w:szCs w:val="20"/>
        </w:rPr>
        <w:t xml:space="preserve"> SA 238-এর entry ভুল প্রমাণ করার জন্য কী cogent evidence আছে?</w:t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প্রশ্ন–৩:</w:t>
      </w:r>
      <w:r>
        <w:rPr>
          <w:rFonts w:ascii="Kalpurush" w:cs="Kalpurush" w:eastAsia="Kalpurush" w:hAnsi="Kalpurush"/>
          <w:sz w:val="20"/>
          <w:szCs w:val="20"/>
        </w:rPr>
        <w:t xml:space="preserve"> 1969 Misc Case 1181-এর alleged correction order কোথায়?</w:t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প্রশ্ন–৪:</w:t>
      </w:r>
      <w:r>
        <w:rPr>
          <w:rFonts w:ascii="Kalpurush" w:cs="Kalpurush" w:eastAsia="Kalpurush" w:hAnsi="Kalpurush"/>
          <w:sz w:val="20"/>
          <w:szCs w:val="20"/>
        </w:rPr>
        <w:t xml:space="preserve"> Parent order ছাড়া AC Land volume entry কীভাবে একজন নতুন ব্যক্তিকে substantive tenancy interest প্রদান করে?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যদি চারটির উত্তরই বিবাদীপক্ষের পক্ষে documentary certainty সৃষ্টি করতে না পারে, তাহলে SA 238-এর statutory presumption অক্ষুণ্ণ থাকে।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২০. অতএব Trial Court-এর judgment-এর বিরুদ্ধে appellate conclusion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Trial Court মূলত একটি presumed correction-কে বাস্তব correction হিসেবে গ্রহণ করেছেন।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কিন্তু appellate scrutiny-তে প্রথমে প্রমাণ করতে হবে: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Correction existed → correction was lawful → correction was based on competent proceeding → proceeding was properly proved → correction had legal effect.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এই chain-এর foundational link অনুপস্থিত থাকিলে কেবল volume entry-কে decisive evidence হিসেবে গ্রহণ করা নিরাপদ নয়।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এবং সেই অবস্থায় SA 238-এর finally published entry-কে ভুল প্রমাণের burden পুনরায় plaintiffs-এর উপর চাপানোও যথাযথ নয়।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অতএব বিজ্ঞ ট্রায়াল কোর্টের এই সিদ্ধান্ত আইন ও সাক্ষ্যের পরিপন্থী এবং বাতিলযোগ্য।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FINAL SUBMISSION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মহামান্য আদালত,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এই আপিলের আসল প্রশ্ন কে বেশি বিশ্বাসযোগ্য গল্প বলতে পারল—তা নয়।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প্রশ্ন হলো—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কার দাবির পেছনে একটি সম্পূর্ণ এবং আইনসম্মত documentary chain আছে?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আপীল্যান্টদের chain: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CS position → State Acquisition → SA 238 → Abdul Ali → subsequent registered transaction → preserved record.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বিবাদীপক্ষের chain: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alleged 1934 settlement → alleged inheritance → alleged Misc Case 1181/1969 → alleged correction → unexplained volume entry → subsequent claim.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প্রথম chain-এর গুরুত্বপূর্ণ documentary links আদালতে বিদ্যমান; দ্বিতীয় chain-এর সবচেয়ে গুরুত্বপূর্ণ links—বিশেষত root tenancy এবং alleged correction order—প্রমাণিত নয়।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আর এখানেই আপিলের মূল পার্থক্য।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আমরা বলছি না যে SA record কখনো ভুল হতে পারে না। আমরা বলছি—যে পক্ষ বলছে SA 238 ভুল, সংশোধিত, এবং একজন নতুন ব্যক্তি/উত্তরাধিকারীকে তার মধ্যে substantive interest দেওয়া হয়েছিল, সেই পক্ষকে অন্তত সেই correction-এর legal source দেখাতে হবে। এখানে source হিসেবে কথিত Misc Case 1181/1969-এর primary order নেই; অথচ তার consequential volume entry আছে। অতএব consequential entry-কে foundational proof-এর বিকল্প করা যায়বিধা যায় না।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অতএব বিনীত প্রার্থনা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উপরোক্ত facts, evidence এবং প্রযোজ্য আইনের আলোকে মহামান্য আদালতের নিকট বিনীত প্রার্থনা—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ক. বিজ্ঞ নিম্ন আদালতের ০৫/০৪/২০২৬ তারিখের judgment এবং ০৯/০৪/২০২৬ তারিখের decree আইন ও সাক্ষ্যের সঠিক মূল্যায়নের পরিপন্থী মর্মে সেটি set aside করা হউক;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খ. SA ২৩৮ নং খতিয়ানে প্রতিফলিত আপীল্যান্টদের predecessor-এর স্বত্ব ও সংশ্লিষ্ট co-sharers-এর অধিকার আইনানুগভাবে নির্ধারণপূর্বক partition proceeding অগ্রসর করার নির্দেশ প্রদান করা হউক;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গ. Government-এর পৃথক খতিয়ানভুক্ত ভূমি, যাহা আপীল্যান্টগণ নিজেদের partition property হিসেবে দাবি করেন নাই, তাহা partition-এর subject matter-এর বাইরে রাখিয়া Advocate Commissioner-এর মাধ্যমে বাস্তব বণ্টনের প্রয়োজনীয় ব্যবস্থা গ্রহণ করা হউক;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ঘ. বিবাদীপক্ষের alleged correction-এর ভিত্তি হিসেবে কথিত Misc Case No. 1181/1969-এর primary record অনুপস্থিত থাকা এবং AC Land volume entry-এর evidentiary/legal foundation অপর্যাপ্ত হওয়ার বিষয়টি যথাযথভাবে বিবেচনা করা হউক;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ঙ. ন্যায়বিচারের স্বার্থে আপিল মঞ্জুর করা হউক।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বিনীত নিবেদন সমাপ্ত।</w:t>
      </w:r>
    </w:p>
    <w:p>
      <w:r>
        <w:rPr>
          <w:rFonts w:ascii="Kalpurush" w:cs="Kalpurush" w:eastAsia="Kalpurush" w:hAnsi="Kalpurush"/>
        </w:rPr>
        <w:t xml:space="preserve"/>
      </w:r>
    </w:p>
    <w:sectPr>
      <w:pgSz w:w="12240" w:h="2016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alpurush" w:cs="Kalpurush" w:eastAsia="Kalpurush" w:hAnsi="Kalpurush"/>
        <w:sz w:val="20"/>
        <w:szCs w:val="20"/>
      </w:rPr>
    </w:rPrDefault>
    <w:pPrDefault>
      <w:pPr>
        <w:spacing w:after="0" w:before="0"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2026-08-15T14:16:25.659Z</dcterms:created>
  <dcterms:modified xsi:type="dcterms:W3CDTF">2026-08-15T14:16:25.663Z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