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জেলা জজ আদালত, টাঙ্গাইল</w:t>
      </w:r>
    </w:p>
    <w:p>
      <w:pPr>
        <w:pStyle w:val="Heading2"/>
      </w:pPr>
      <w:r>
        <w:rPr>
          <w:rFonts w:ascii="Kalpurush" w:cs="Kalpurush" w:eastAsia="Kalpurush" w:hAnsi="Kalpurush"/>
          <w:sz w:val="20"/>
          <w:szCs w:val="20"/>
        </w:rPr>
        <w:t xml:space="preserve">আপীল মামলা নং ৩৮/২০২৬ (বাটোয়ারা মামলা নং ৬৬/২০১৬)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হাতেম আলী ও অন্যান্য (আপীল্যান্ট/বাদী) বনাম আলহাজ উদ্দিন ও অন্যান্য (রেসপন্ডেন্ট/বিবাদী)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1"/>
        <w:jc w:val="center"/>
      </w:pPr>
      <w:r>
        <w:rPr>
          <w:rFonts w:ascii="Kalpurush" w:cs="Kalpurush" w:eastAsia="Kalpurush" w:hAnsi="Kalpurush"/>
          <w:sz w:val="20"/>
          <w:szCs w:val="20"/>
        </w:rPr>
        <w:t xml:space="preserve">আপীল্যান্টপক্ষের সারসংক্ষেপ (Summary)</w:t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Version 92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jc w:val="center"/>
      </w:pPr>
      <w:r>
        <w:t xml:space="preserve">--------------------------------------------------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মূল বিচার্য বিষয়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এই আপীলের প্রকৃত প্রশ্ন আব্দুল করিমের alleged ১৯৩৪ সালের tenancy বা উত্তরাধিকার নহে। প্রশ্ন হলো—SA ২৩৮ নং খতিয়ানের (যেখানে আব্দুল আলী ১৬ আনা রায়ত হিসাবে চূড়ান্তভাবে রেকর্ডভুক্ত) present evidentiary effect-কে বিবাদীপক্ষ যে ১৯৬৯ সালের কথিত correction (Misc Case 1181/1969) দ্বারা displace করিতে চাহিতেছে, সেই correction-এর legal source, jurisdiction এবং implementation তাহারা নির্ভরযোগ্যভাবে প্রমাণ করিতে পারিয়াছে কি না।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আপীল্যান্টপক্ষের ৬-স্তরের যুক্তিকাঠামো (The Two-Layer Test)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1.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Layer 1 (The Competing Root):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বিবাদীপক্ষ আব্দুল করিমের alleged ১৯৩৪ সালের pattan-এর কোনো নির্ভরযোগ্য documentary evidence দাখিল করে নাই। CS ২ নং খতিয়ানে নালিশী জমি নবাব এস্টেটের খাস সম্পত্তি। 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2.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Layer 2 (The Displacement):</w:t>
      </w:r>
      <w:r>
        <w:rPr>
          <w:rFonts w:ascii="Kalpurush" w:cs="Kalpurush" w:eastAsia="Kalpurush" w:hAnsi="Kalpurush"/>
          <w:sz w:val="20"/>
          <w:szCs w:val="20"/>
        </w:rPr>
        <w:t xml:space="preserve"> তর্কের খাতিরে আব্দুল করিমের interest স্বীকার করিলেও, সেটি কীভাবে SA ২৩৮-এর final publication অতিক্রম করিয়া সোনাভানুর অনুকূলে enforceable interest সৃষ্টি করিল? The bridge is unproved. 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3.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Comparative Documentary Test:</w:t>
      </w:r>
      <w:r>
        <w:rPr>
          <w:rFonts w:ascii="Kalpurush" w:cs="Kalpurush" w:eastAsia="Kalpurush" w:hAnsi="Kalpurush"/>
          <w:sz w:val="20"/>
          <w:szCs w:val="20"/>
        </w:rPr>
        <w:t xml:space="preserve"> সোনাভানুর উত্তরাধিকার প্রমাণ করা এবং SA ২৩৮-এর নির্দিষ্ট জমি তাহার উত্তরাধিকারের অন্তর্ভুক্ত হওয়া—দুইটি সম্পূর্ণ ভিন্ন বিষয়। অন্যান্য খতিয়ানে সোনাভানুর নাম থাকিলেও SA ২৩৮ একটি distinct, finally published State record। 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4.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The Unproved Source (Misc Case 1181/1969):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বিবাদীপক্ষের title claim-এর foundation হলো alleged Misc Case No. 1181/1969। কিন্তু উক্ত proceeding-এর order, certified copy, বা parent file আদালতে উপস্থাপন করা হয় নাই।  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5.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AC Land Volume vs. Parent Order:</w:t>
      </w:r>
      <w:r>
        <w:rPr>
          <w:rFonts w:ascii="Kalpurush" w:cs="Kalpurush" w:eastAsia="Kalpurush" w:hAnsi="Kalpurush"/>
          <w:sz w:val="20"/>
          <w:szCs w:val="20"/>
        </w:rPr>
        <w:t xml:space="preserve"> কেবল একটি ভলিউম এন্ট্রির উপর নির্ভর করিয়া substantive displacement প্রতিষ্ঠা করা যায় না। DW-4 নিজেই এন্ট্রির provenance প্রমাণ করিতে ব্যর্থ। The unproved legal source undermines the consequential entry.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6.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Material Documentary Inconsistency (১৯৭৫-এর দলিল):</w:t>
      </w:r>
      <w:r>
        <w:rPr>
          <w:rFonts w:ascii="Kalpurush" w:cs="Kalpurush" w:eastAsia="Kalpurush" w:hAnsi="Kalpurush"/>
          <w:sz w:val="20"/>
          <w:szCs w:val="20"/>
        </w:rPr>
        <w:t xml:space="preserve"> বিবাদীপক্ষের দাবি অনুযায়ী ১৯৬৯ সালের correction-এ SA ২৩৮ এক দাগে সীমাবদ্ধ হয়। কিন্তু বিবাদীপক্ষের নিজেদের দাখিলকৃত ১৯৭৫ সালের register deed (নং ৩৫৯৬)-এ উক্ত খতিয়ানে ছয়টি দাগের (১২৫৯, ৭৫, ৩, ৫৪, ১২৫২ এবং ১২২০) উল্লেখ রহিয়াছে। This directly contradicts their single-dag correction theory.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প্রাসঙ্গিক অন্যান্য বিষয়সমূহ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১৯৫৭ সালের ২৩৯৮ নং দলিল:</w:t>
      </w:r>
      <w:r>
        <w:rPr>
          <w:rFonts w:ascii="Kalpurush" w:cs="Kalpurush" w:eastAsia="Kalpurush" w:hAnsi="Kalpurush"/>
          <w:sz w:val="20"/>
          <w:szCs w:val="20"/>
        </w:rPr>
        <w:t xml:space="preserve"> এটি আপীল্যান্টদের title-এর উৎস নয়, বরং SA ২৩৮-এর রেকর্ডভুক্ত আব্দুল আলীর contemporaneous interest-এর একটি শক্তিশালী corroborative circumstance। 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Hotchpot Defect:</w:t>
      </w:r>
      <w:r>
        <w:rPr>
          <w:rFonts w:ascii="Kalpurush" w:cs="Kalpurush" w:eastAsia="Kalpurush" w:hAnsi="Kalpurush"/>
          <w:sz w:val="20"/>
          <w:szCs w:val="20"/>
        </w:rPr>
        <w:t xml:space="preserve"> ১২৫৯ দাগের ৪৭৭ শতাংশ জমির মধ্যে ১৩৭ শতাংশ সরকারি খাস (১ নং খাস খতিয়ানভুক্ত)। আপীল্যান্টগণ উক্ত সরকারি অংশের উপর কোনো partition relief দাবি করে নাই। সুতরাং পৃথক interest-এর কারণে hotchpot defect বা সরকারের non-joinder-এর প্রশ্ন অপ্রাসঙ্গিক। </w:t>
      </w:r>
    </w:p>
    <w:p>
      <w:pPr>
        <w:pStyle w:val="ListParagraph"/>
        <w:numPr>
          <w:ilvl w:val="0"/>
          <w:numId w:val="1"/>
        </w:numPr>
      </w:pPr>
      <w:r>
        <w:rPr>
          <w:rFonts w:ascii="Kalpurush" w:cs="Kalpurush" w:eastAsia="Kalpurush" w:hAnsi="Kalpurush"/>
          <w:sz w:val="20"/>
          <w:szCs w:val="20"/>
        </w:rPr>
        <w:t xml:space="preserve">  </w:t>
      </w:r>
      <w:r>
        <w:rPr>
          <w:rFonts w:ascii="Kalpurush" w:cs="Kalpurush" w:eastAsia="Kalpurush" w:hAnsi="Kalpurush"/>
          <w:b/>
          <w:bCs/>
          <w:sz w:val="20"/>
          <w:szCs w:val="20"/>
        </w:rPr>
        <w:t xml:space="preserve">Burden of Proof:</w:t>
      </w:r>
      <w:r>
        <w:rPr>
          <w:rFonts w:ascii="Kalpurush" w:cs="Kalpurush" w:eastAsia="Kalpurush" w:hAnsi="Kalpurush"/>
          <w:sz w:val="20"/>
          <w:szCs w:val="20"/>
        </w:rPr>
        <w:t xml:space="preserve"> আপীল্যান্টগণ SA ২৩৮-এর certified copy দাখিল করিয়াছে। যে পক্ষ affirmative-ভাবে উক্ত record-এর correction ও displacement দাবি করে, সেই Particular corrective event প্রমাণের burden বিবাদীপক্ষের (Evidence Act, Sec 103)। </w:t>
      </w:r>
    </w:p>
    <w:p>
      <w:r>
        <w:rPr>
          <w:rFonts w:ascii="Kalpurush" w:cs="Kalpurush" w:eastAsia="Kalpurush" w:hAnsi="Kalpurush"/>
        </w:rPr>
        <w:t xml:space="preserve"/>
      </w:r>
    </w:p>
    <w:p>
      <w:pPr>
        <w:pStyle w:val="Heading3"/>
      </w:pPr>
      <w:r>
        <w:rPr>
          <w:rFonts w:ascii="Kalpurush" w:cs="Kalpurush" w:eastAsia="Kalpurush" w:hAnsi="Kalpurush"/>
          <w:sz w:val="20"/>
          <w:szCs w:val="20"/>
        </w:rPr>
        <w:t xml:space="preserve">সমাপনী নিবেদন</w:t>
      </w:r>
    </w:p>
    <w:p>
      <w:r>
        <w:rPr>
          <w:rFonts w:ascii="Kalpurush" w:cs="Kalpurush" w:eastAsia="Kalpurush" w:hAnsi="Kalpurush"/>
          <w:sz w:val="20"/>
          <w:szCs w:val="20"/>
        </w:rPr>
        <w:t xml:space="preserve">আপীল্যান্টগণ SA ২৩৮-কে conclusive title deed বলিতেছে না। তবে ইহা statutory evidentiary starting point। বিবাদীপক্ষ যে corrective event (১৯৬৯ সালের Misc Case)-এর উপর নির্ভর করিয়া SA ২৩৮-এর effect অতিক্রম করিতে চাহিতেছে, তাহার foundation-ই আদালতে প্রমাণিত হয় নাই। </w:t>
      </w:r>
    </w:p>
    <w:p>
      <w:r>
        <w:rPr>
          <w:rFonts w:ascii="Kalpurush" w:cs="Kalpurush" w:eastAsia="Kalpurush" w:hAnsi="Kalpurush"/>
        </w:rPr>
        <w:t xml:space="preserve"/>
      </w:r>
    </w:p>
    <w:p>
      <w:r>
        <w:rPr>
          <w:rFonts w:ascii="Kalpurush" w:cs="Kalpurush" w:eastAsia="Kalpurush" w:hAnsi="Kalpurush"/>
          <w:b/>
          <w:bCs/>
          <w:sz w:val="20"/>
          <w:szCs w:val="20"/>
        </w:rPr>
        <w:t xml:space="preserve">অতএব বিজ্ঞ নিম্ন আদালতের ০৫/০৪/২০২৬ তারিখের Judgment এবং ০৯/০৪/২০২৬ তারিখের Decree বাতিলযোগ্য এবং আপীলটি মঞ্জুরযোগ্য।</w:t>
      </w:r>
    </w:p>
    <w:p>
      <w:r>
        <w:rPr>
          <w:rFonts w:ascii="Kalpurush" w:cs="Kalpurush" w:eastAsia="Kalpurush" w:hAnsi="Kalpurush"/>
        </w:rPr>
        <w:t xml:space="preserve"/>
      </w:r>
    </w:p>
    <w:sectPr>
      <w:pgSz w:w="12240" w:h="2016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Kalpurush" w:cs="Kalpurush" w:eastAsia="Kalpurush" w:hAnsi="Kalpurush"/>
        <w:sz w:val="20"/>
        <w:szCs w:val="20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2026-08-15T14:16:25.784Z</dcterms:created>
  <dcterms:modified xsi:type="dcterms:W3CDTF">2026-08-15T14:16:25.784Z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