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b/>
          <w:bCs/>
          <w:sz w:val="20"/>
          <w:szCs w:val="20"/>
        </w:rPr>
        <w:t xml:space="preserve">শুনানি সহায়িকা (Version 67 — Definitive Executive Summary &amp; Oral Strategy)</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EXECUTIVE SUMMARY (১ পৃষ্ঠার নীতি-সারসংক্ষেপ)</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Why Trial Court Must Be Reversed (কেন নিম্ন আদালতের রায় বাতিলযোগ্য)</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 দ্য ৪ কোর প্রপোজিশনস (The 4 Principal Propositions of Appeal)</w:t>
      </w:r>
    </w:p>
    <w:p>
      <w:r>
        <w:rPr>
          <w:rFonts w:ascii="Kalpurush" w:cs="Kalpurush" w:eastAsia="Kalpurush" w:hAnsi="Kalpurush"/>
        </w:rPr>
        <w:t xml:space="preserve"/>
      </w:r>
    </w:p>
    <w:p>
      <w:r>
        <w:rPr>
          <w:rFonts w:ascii="Kalpurush" w:cs="Kalpurush" w:eastAsia="Kalpurush" w:hAnsi="Kalpurush"/>
          <w:b/>
          <w:bCs/>
          <w:sz w:val="20"/>
          <w:szCs w:val="20"/>
        </w:rPr>
        <w:t xml:space="preserve">The appeal rests on four principal propositions:</w:t>
      </w:r>
    </w:p>
    <w:p>
      <w:r>
        <w:rPr>
          <w:rFonts w:ascii="Kalpurush" w:cs="Kalpurush" w:eastAsia="Kalpurush" w:hAnsi="Kalpurush"/>
        </w:rPr>
        <w:t xml:space="preserve"/>
      </w:r>
    </w:p>
    <w:p>
      <w:r>
        <w:rPr>
          <w:rFonts w:ascii="Kalpurush" w:cs="Kalpurush" w:eastAsia="Kalpurush" w:hAnsi="Kalpurush"/>
          <w:sz w:val="20"/>
          <w:szCs w:val="20"/>
        </w:rPr>
        <w:t xml:space="preserve">1. </w:t>
      </w:r>
      <w:r>
        <w:rPr>
          <w:rFonts w:ascii="Kalpurush" w:cs="Kalpurush" w:eastAsia="Kalpurush" w:hAnsi="Kalpurush"/>
          <w:b/>
          <w:bCs/>
          <w:sz w:val="20"/>
          <w:szCs w:val="20"/>
        </w:rPr>
        <w:t xml:space="preserve">Root tenancy never proved:</w:t>
      </w:r>
      <w:r>
        <w:rPr>
          <w:rFonts w:ascii="Kalpurush" w:cs="Kalpurush" w:eastAsia="Kalpurush" w:hAnsi="Kalpurush"/>
          <w:sz w:val="20"/>
          <w:szCs w:val="20"/>
        </w:rPr>
        <w:t xml:space="preserve"> বিবাদীদের পূর্বসূরি আব্দুল করিমের কোনো নিবন্ধিত পাট্টা, কবুলিয়ত, সিএস খতিয়ান, লিখিত চুক্তি বা চিফ ম্যানেজারের অনুমোদন বিচারিক রেকর্ডে দাখিল হয় নাই।</w:t>
      </w:r>
    </w:p>
    <w:p>
      <w:r>
        <w:rPr>
          <w:rFonts w:ascii="Kalpurush" w:cs="Kalpurush" w:eastAsia="Kalpurush" w:hAnsi="Kalpurush"/>
          <w:sz w:val="20"/>
          <w:szCs w:val="20"/>
        </w:rPr>
        <w:t xml:space="preserve">2. </w:t>
      </w:r>
      <w:r>
        <w:rPr>
          <w:rFonts w:ascii="Kalpurush" w:cs="Kalpurush" w:eastAsia="Kalpurush" w:hAnsi="Kalpurush"/>
          <w:b/>
          <w:bCs/>
          <w:sz w:val="20"/>
          <w:szCs w:val="20"/>
        </w:rPr>
        <w:t xml:space="preserve">Statutory presumption of SA 238 unrebutted:</w:t>
      </w:r>
      <w:r>
        <w:rPr>
          <w:rFonts w:ascii="Kalpurush" w:cs="Kalpurush" w:eastAsia="Kalpurush" w:hAnsi="Kalpurush"/>
          <w:sz w:val="20"/>
          <w:szCs w:val="20"/>
        </w:rPr>
        <w:t xml:space="preserve"> জেলা প্রশাসকের সেন্ট্রাল রেকর্ড রুমে অপরিবর্তিত SA ২৩৮ খতিয়ান (আব্দুল আলী ১৬ আনা প্রজা) SAT Act, 1950-এর Section 144A অনুযায়ী সংবিধিবদ্ধ নির্ভুলতার অনুমান বহন করে।</w:t>
      </w:r>
    </w:p>
    <w:p>
      <w:r>
        <w:rPr>
          <w:rFonts w:ascii="Kalpurush" w:cs="Kalpurush" w:eastAsia="Kalpurush" w:hAnsi="Kalpurush"/>
          <w:sz w:val="20"/>
          <w:szCs w:val="20"/>
        </w:rPr>
        <w:t xml:space="preserve">3. </w:t>
      </w:r>
      <w:r>
        <w:rPr>
          <w:rFonts w:ascii="Kalpurush" w:cs="Kalpurush" w:eastAsia="Kalpurush" w:hAnsi="Kalpurush"/>
          <w:b/>
          <w:bCs/>
          <w:sz w:val="20"/>
          <w:szCs w:val="20"/>
        </w:rPr>
        <w:t xml:space="preserve">Alleged Misc Case order absent:</w:t>
      </w:r>
      <w:r>
        <w:rPr>
          <w:rFonts w:ascii="Kalpurush" w:cs="Kalpurush" w:eastAsia="Kalpurush" w:hAnsi="Kalpurush"/>
          <w:sz w:val="20"/>
          <w:szCs w:val="20"/>
        </w:rPr>
        <w:t xml:space="preserve"> ১৯৬৯ সালের ১১৮১ নং Misc Case-এর কোনো আদেশনামা, রায় বা সার্টিফাইড কপি নাই; আদেশের অনুপস্থিতিতে ভলিউম নোটের স্বাধীন অস্তিত্ব থাকিতে পারে না।</w:t>
      </w:r>
    </w:p>
    <w:p>
      <w:r>
        <w:rPr>
          <w:rFonts w:ascii="Kalpurush" w:cs="Kalpurush" w:eastAsia="Kalpurush" w:hAnsi="Kalpurush"/>
          <w:sz w:val="20"/>
          <w:szCs w:val="20"/>
        </w:rPr>
        <w:t xml:space="preserve">4. </w:t>
      </w:r>
      <w:r>
        <w:rPr>
          <w:rFonts w:ascii="Kalpurush" w:cs="Kalpurush" w:eastAsia="Kalpurush" w:hAnsi="Kalpurush"/>
          <w:b/>
          <w:bCs/>
          <w:sz w:val="20"/>
          <w:szCs w:val="20"/>
        </w:rPr>
        <w:t xml:space="preserve">1975 deed contradiction:</w:t>
      </w:r>
      <w:r>
        <w:rPr>
          <w:rFonts w:ascii="Kalpurush" w:cs="Kalpurush" w:eastAsia="Kalpurush" w:hAnsi="Kalpurush"/>
          <w:sz w:val="20"/>
          <w:szCs w:val="20"/>
        </w:rPr>
        <w:t xml:space="preserve"> বিবাদীরা দাবি করেন ১৯৬৯ সংশোধনের পর SA ২৩৮-এ মাত্র ১টি দাগ ছিল, অথচ তাহাদের নিজেদের রেজিস্ট্রিকৃত ৩৫৯৬/১৯৭৫ নং দলিলে (Exhibit Kha-1) ৬টি দাগের বিবরণ সমর্থনকারী পরিস্থিতিগত প্রমাণ হিসেবে তাহাদের দাবি খণ্ডন করে।</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impugned judgment cannot be sustained in law because —</w:t>
      </w:r>
    </w:p>
    <w:p>
      <w:r>
        <w:rPr>
          <w:rFonts w:ascii="Kalpurush" w:cs="Kalpurush" w:eastAsia="Kalpurush" w:hAnsi="Kalpurush"/>
        </w:rPr>
        <w:t xml:space="preserve"/>
      </w:r>
    </w:p>
    <w:p>
      <w:pPr>
        <w:pStyle w:val="ListParagraph"/>
        <w:numPr>
          <w:ilvl w:val="0"/>
          <w:numId w:val="1"/>
        </w:numPr>
      </w:pPr>
      <w:r>
        <w:rPr>
          <w:rFonts w:ascii="Kalpurush" w:cs="Kalpurush" w:eastAsia="Kalpurush" w:hAnsi="Kalpurush"/>
          <w:b/>
          <w:bCs/>
          <w:sz w:val="20"/>
          <w:szCs w:val="20"/>
        </w:rPr>
        <w:t xml:space="preserve">Illegal Shifting of Burden:</w:t>
      </w:r>
      <w:r>
        <w:rPr>
          <w:rFonts w:ascii="Kalpurush" w:cs="Kalpurush" w:eastAsia="Kalpurush" w:hAnsi="Kalpurush"/>
          <w:sz w:val="20"/>
          <w:szCs w:val="20"/>
        </w:rPr>
        <w:t xml:space="preserve"> বাদী সইমোহরি খতিয়ান দাখিল করিয়া initial burden নিষ্পত্তির পর ট্রায়াল কোর্ট অন্যায়ভাবে বাদীর উপর নেতিবাচক প্রমাণের দায়িত্ব চাপাইয়াছেন (Evidence Act s.103)।</w:t>
      </w:r>
    </w:p>
    <w:p>
      <w:pPr>
        <w:pStyle w:val="ListParagraph"/>
        <w:numPr>
          <w:ilvl w:val="0"/>
          <w:numId w:val="1"/>
        </w:numPr>
      </w:pPr>
      <w:r>
        <w:rPr>
          <w:rFonts w:ascii="Kalpurush" w:cs="Kalpurush" w:eastAsia="Kalpurush" w:hAnsi="Kalpurush"/>
          <w:b/>
          <w:bCs/>
          <w:sz w:val="20"/>
          <w:szCs w:val="20"/>
        </w:rPr>
        <w:t xml:space="preserve">AC Land Note Has No Legal Force:</w:t>
      </w:r>
      <w:r>
        <w:rPr>
          <w:rFonts w:ascii="Kalpurush" w:cs="Kalpurush" w:eastAsia="Kalpurush" w:hAnsi="Kalpurush"/>
          <w:sz w:val="20"/>
          <w:szCs w:val="20"/>
        </w:rPr>
        <w:t xml:space="preserve"> সখিপুর AC Land অফিসে ভিন্ন কালিতে লেখা ব্যাখ্যাহীন ভলিউম নোট জেলা প্রশাসকের সেন্ট্রাল রেকর্ড রুমের সংবিধিবদ্ধ রেকর্ডকে বাতিল করিতে পারে না (53 DLR 19; 18 BLC 235)।</w:t>
      </w:r>
    </w:p>
    <w:p>
      <w:pPr>
        <w:pStyle w:val="ListParagraph"/>
        <w:numPr>
          <w:ilvl w:val="0"/>
          <w:numId w:val="1"/>
        </w:numPr>
      </w:pPr>
      <w:r>
        <w:rPr>
          <w:rFonts w:ascii="Kalpurush" w:cs="Kalpurush" w:eastAsia="Kalpurush" w:hAnsi="Kalpurush"/>
          <w:b/>
          <w:bCs/>
          <w:sz w:val="20"/>
          <w:szCs w:val="20"/>
        </w:rPr>
        <w:t xml:space="preserve">The Consequential Claim Fails:</w:t>
      </w:r>
      <w:r>
        <w:rPr>
          <w:rFonts w:ascii="Kalpurush" w:cs="Kalpurush" w:eastAsia="Kalpurush" w:hAnsi="Kalpurush"/>
          <w:sz w:val="20"/>
          <w:szCs w:val="20"/>
        </w:rPr>
        <w:t xml:space="preserve"> বিবাদীদের কথিত স্বত্বের মূল (Root) এবং কথিত সংশোধন আদেশ উভয়ই প্রমাণের অভাবে অকার্যকর হওয়ায় নিম্ন আদালতের রায়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CHAPTER CHEAT SHEET FOR ORAL ADVOCACY</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CHAPTER 1: The Fatal Error — Unproved Root Tenancy</w:t>
      </w:r>
    </w:p>
    <w:p>
      <w:pPr>
        <w:pStyle w:val="ListParagraph"/>
        <w:numPr>
          <w:ilvl w:val="0"/>
          <w:numId w:val="1"/>
        </w:numPr>
      </w:pPr>
      <w:r>
        <w:rPr>
          <w:rFonts w:ascii="Kalpurush" w:cs="Kalpurush" w:eastAsia="Kalpurush" w:hAnsi="Kalpurush"/>
          <w:b/>
          <w:bCs/>
          <w:sz w:val="20"/>
          <w:szCs w:val="20"/>
        </w:rPr>
        <w:t xml:space="preserve">Trial Court Held:</w:t>
      </w:r>
      <w:r>
        <w:rPr>
          <w:rFonts w:ascii="Kalpurush" w:cs="Kalpurush" w:eastAsia="Kalpurush" w:hAnsi="Kalpurush"/>
          <w:sz w:val="20"/>
          <w:szCs w:val="20"/>
        </w:rPr>
        <w:t xml:space="preserve"> আব্দুল করিম ১৯৩৪ সালে নবাব এস্টেট হতে প্রজা হন।</w:t>
      </w:r>
    </w:p>
    <w:p>
      <w:pPr>
        <w:pStyle w:val="ListParagraph"/>
        <w:numPr>
          <w:ilvl w:val="0"/>
          <w:numId w:val="1"/>
        </w:numPr>
      </w:pPr>
      <w:r>
        <w:rPr>
          <w:rFonts w:ascii="Kalpurush" w:cs="Kalpurush" w:eastAsia="Kalpurush" w:hAnsi="Kalpurush"/>
          <w:b/>
          <w:bCs/>
          <w:sz w:val="20"/>
          <w:szCs w:val="20"/>
        </w:rPr>
        <w:t xml:space="preserve">Why Wrong:</w:t>
      </w:r>
      <w:r>
        <w:rPr>
          <w:rFonts w:ascii="Kalpurush" w:cs="Kalpurush" w:eastAsia="Kalpurush" w:hAnsi="Kalpurush"/>
          <w:sz w:val="20"/>
          <w:szCs w:val="20"/>
        </w:rPr>
        <w:t xml:space="preserve"> CS ২ খতিয়ানে জমি নবাব এস্টেটের খাস জমি। পাট্টা/কবুলিয়ত নাই। চিফ ম্যানেজারের অনুমোদন নাই (12 BLC (AD) 79)। SAT Act s.86-এ প্রাক-SA দাবি খতিয়ানের বিপরীতে অকার্যকর (4 SCOB [2015] HCD 52)।</w:t>
      </w:r>
    </w:p>
    <w:p>
      <w:pPr>
        <w:pStyle w:val="ListParagraph"/>
        <w:numPr>
          <w:ilvl w:val="0"/>
          <w:numId w:val="1"/>
        </w:numPr>
      </w:pPr>
      <w:r>
        <w:rPr>
          <w:rFonts w:ascii="Kalpurush" w:cs="Kalpurush" w:eastAsia="Kalpurush" w:hAnsi="Kalpurush"/>
          <w:b/>
          <w:bCs/>
          <w:sz w:val="20"/>
          <w:szCs w:val="20"/>
        </w:rPr>
        <w:t xml:space="preserve">Precise Possession Wording:</w:t>
      </w:r>
      <w:r>
        <w:rPr>
          <w:rFonts w:ascii="Kalpurush" w:cs="Kalpurush" w:eastAsia="Kalpurush" w:hAnsi="Kalpurush"/>
          <w:sz w:val="20"/>
          <w:szCs w:val="20"/>
        </w:rPr>
        <w:t xml:space="preserve"> *No evidence was produced to establish that Abdul Karim entered into possession pursuant to any lawful settlement with the Dhaka Nawab Estate.*</w:t>
      </w:r>
    </w:p>
    <w:p>
      <w:pPr>
        <w:pStyle w:val="ListParagraph"/>
        <w:numPr>
          <w:ilvl w:val="0"/>
          <w:numId w:val="1"/>
        </w:numPr>
      </w:pPr>
      <w:r>
        <w:rPr>
          <w:rFonts w:ascii="Kalpurush" w:cs="Kalpurush" w:eastAsia="Kalpurush" w:hAnsi="Kalpurush"/>
          <w:b/>
          <w:bCs/>
          <w:sz w:val="20"/>
          <w:szCs w:val="20"/>
        </w:rPr>
        <w:t xml:space="preserve">Abdul Ali Title Note:</w:t>
      </w:r>
      <w:r>
        <w:rPr>
          <w:rFonts w:ascii="Kalpurush" w:cs="Kalpurush" w:eastAsia="Kalpurush" w:hAnsi="Kalpurush"/>
          <w:sz w:val="20"/>
          <w:szCs w:val="20"/>
        </w:rPr>
        <w:t xml:space="preserve"> *Abdul Ali's title is derived directly from the finally published SA Record (state recognition and continuous possession), not through Abdul Karim.*</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CHAPTER 2: State Recognition &amp; Burden of Proof</w:t>
      </w:r>
    </w:p>
    <w:p>
      <w:pPr>
        <w:pStyle w:val="ListParagraph"/>
        <w:numPr>
          <w:ilvl w:val="0"/>
          <w:numId w:val="1"/>
        </w:numPr>
      </w:pPr>
      <w:r>
        <w:rPr>
          <w:rFonts w:ascii="Kalpurush" w:cs="Kalpurush" w:eastAsia="Kalpurush" w:hAnsi="Kalpurush"/>
          <w:b/>
          <w:bCs/>
          <w:sz w:val="20"/>
          <w:szCs w:val="20"/>
        </w:rPr>
        <w:t xml:space="preserve">Trial Court Held:</w:t>
      </w:r>
      <w:r>
        <w:rPr>
          <w:rFonts w:ascii="Kalpurush" w:cs="Kalpurush" w:eastAsia="Kalpurush" w:hAnsi="Kalpurush"/>
          <w:sz w:val="20"/>
          <w:szCs w:val="20"/>
        </w:rPr>
        <w:t xml:space="preserve"> বাদীকে প্রমাণ করতে হবে খতিয়ান কেন ভুল নয়।</w:t>
      </w:r>
    </w:p>
    <w:p>
      <w:pPr>
        <w:pStyle w:val="ListParagraph"/>
        <w:numPr>
          <w:ilvl w:val="0"/>
          <w:numId w:val="1"/>
        </w:numPr>
      </w:pPr>
      <w:r>
        <w:rPr>
          <w:rFonts w:ascii="Kalpurush" w:cs="Kalpurush" w:eastAsia="Kalpurush" w:hAnsi="Kalpurush"/>
          <w:b/>
          <w:bCs/>
          <w:sz w:val="20"/>
          <w:szCs w:val="20"/>
        </w:rPr>
        <w:t xml:space="preserve">Why Wrong:</w:t>
      </w:r>
      <w:r>
        <w:rPr>
          <w:rFonts w:ascii="Kalpurush" w:cs="Kalpurush" w:eastAsia="Kalpurush" w:hAnsi="Kalpurush"/>
          <w:sz w:val="20"/>
          <w:szCs w:val="20"/>
        </w:rPr>
        <w:t xml:space="preserve"> SA ২৩৮ খতিয়ানে আব্দুল আলী ১৬ আনা প্রজা। Section 144A Presumption বাদীর পক্ষে। প্রমাণের দায় সম্পূর্ণ বিবাদীদের উপর (50 DLR 186; 56 DLR (AD) 53; Evidence Act s.103)।</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CHAPTER 3: Collapse of the Correction Theory (Alleged Misc Case)</w:t>
      </w:r>
    </w:p>
    <w:p>
      <w:pPr>
        <w:pStyle w:val="ListParagraph"/>
        <w:numPr>
          <w:ilvl w:val="0"/>
          <w:numId w:val="1"/>
        </w:numPr>
      </w:pPr>
      <w:r>
        <w:rPr>
          <w:rFonts w:ascii="Kalpurush" w:cs="Kalpurush" w:eastAsia="Kalpurush" w:hAnsi="Kalpurush"/>
          <w:b/>
          <w:bCs/>
          <w:sz w:val="20"/>
          <w:szCs w:val="20"/>
        </w:rPr>
        <w:t xml:space="preserve">Trial Court Held:</w:t>
      </w:r>
      <w:r>
        <w:rPr>
          <w:rFonts w:ascii="Kalpurush" w:cs="Kalpurush" w:eastAsia="Kalpurush" w:hAnsi="Kalpurush"/>
          <w:sz w:val="20"/>
          <w:szCs w:val="20"/>
        </w:rPr>
        <w:t xml:space="preserve"> ১৯৬৯ সালের ১১৮১ নং Misc Case-এ রেকর্ড সংশোধিত হয়েছে।</w:t>
      </w:r>
    </w:p>
    <w:p>
      <w:pPr>
        <w:pStyle w:val="ListParagraph"/>
        <w:numPr>
          <w:ilvl w:val="0"/>
          <w:numId w:val="1"/>
        </w:numPr>
      </w:pPr>
      <w:r>
        <w:rPr>
          <w:rFonts w:ascii="Kalpurush" w:cs="Kalpurush" w:eastAsia="Kalpurush" w:hAnsi="Kalpurush"/>
          <w:b/>
          <w:bCs/>
          <w:sz w:val="20"/>
          <w:szCs w:val="20"/>
        </w:rPr>
        <w:t xml:space="preserve">Why Wrong:</w:t>
      </w:r>
      <w:r>
        <w:rPr>
          <w:rFonts w:ascii="Kalpurush" w:cs="Kalpurush" w:eastAsia="Kalpurush" w:hAnsi="Kalpurush"/>
          <w:sz w:val="20"/>
          <w:szCs w:val="20"/>
        </w:rPr>
        <w:t xml:space="preserve"> কোনো Order Sheet, Judgment, Decree বা Certified Copy নাই। *The respondents, despite specifically relying upon the alleged order, did not even summon the original record from the competent court.* Misc Case-এ Title Adjudication সম্ভব নহে (27 BLD 544)। *As a settled principle of evidentiary reasoning, the alleged consequential entry cannot survive when the foundational order itself remains unproved.*</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CHAPTER 4: AC Land Volume Note Has No Legal Force</w:t>
      </w:r>
    </w:p>
    <w:p>
      <w:pPr>
        <w:pStyle w:val="ListParagraph"/>
        <w:numPr>
          <w:ilvl w:val="0"/>
          <w:numId w:val="1"/>
        </w:numPr>
      </w:pPr>
      <w:r>
        <w:rPr>
          <w:rFonts w:ascii="Kalpurush" w:cs="Kalpurush" w:eastAsia="Kalpurush" w:hAnsi="Kalpurush"/>
          <w:b/>
          <w:bCs/>
          <w:sz w:val="20"/>
          <w:szCs w:val="20"/>
        </w:rPr>
        <w:t xml:space="preserve">Trial Court Held:</w:t>
      </w:r>
      <w:r>
        <w:rPr>
          <w:rFonts w:ascii="Kalpurush" w:cs="Kalpurush" w:eastAsia="Kalpurush" w:hAnsi="Kalpurush"/>
          <w:sz w:val="20"/>
          <w:szCs w:val="20"/>
        </w:rPr>
        <w:t xml:space="preserve"> AC Land ভলিউম নোটের ভিত্তিতে বিবাদীদের দাবি গ্রহণযোগ্য।</w:t>
      </w:r>
    </w:p>
    <w:p>
      <w:pPr>
        <w:pStyle w:val="ListParagraph"/>
        <w:numPr>
          <w:ilvl w:val="0"/>
          <w:numId w:val="1"/>
        </w:numPr>
      </w:pPr>
      <w:r>
        <w:rPr>
          <w:rFonts w:ascii="Kalpurush" w:cs="Kalpurush" w:eastAsia="Kalpurush" w:hAnsi="Kalpurush"/>
          <w:b/>
          <w:bCs/>
          <w:sz w:val="20"/>
          <w:szCs w:val="20"/>
        </w:rPr>
        <w:t xml:space="preserve">Why Wrong:</w:t>
      </w:r>
      <w:r>
        <w:rPr>
          <w:rFonts w:ascii="Kalpurush" w:cs="Kalpurush" w:eastAsia="Kalpurush" w:hAnsi="Kalpurush"/>
          <w:sz w:val="20"/>
          <w:szCs w:val="20"/>
        </w:rPr>
        <w:t xml:space="preserve"> AC Land আদালত নন; Mutation দ্বারা Title খর্ব করার এখতিয়ার রাজস্ব কর্মকর্তার নাই (18 SCOB [2023] AD 20; 18 BLC 235; 29 BLC 160)। *No material has been produced showing compliance with the ordinary mutation procedure, including application, notice, enquiry report, order or corresponding correction in the District Record Room.* DC Record Room আজও অপরিবর্তিত।</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CHAPTER 5: Respondents' Defence Defeats Itself (Internal Contradictions)</w:t>
      </w:r>
    </w:p>
    <w:p>
      <w:pPr>
        <w:pStyle w:val="ListParagraph"/>
        <w:numPr>
          <w:ilvl w:val="0"/>
          <w:numId w:val="1"/>
        </w:numPr>
      </w:pPr>
      <w:r>
        <w:rPr>
          <w:rFonts w:ascii="Kalpurush" w:cs="Kalpurush" w:eastAsia="Kalpurush" w:hAnsi="Kalpurush"/>
          <w:b/>
          <w:bCs/>
          <w:sz w:val="20"/>
          <w:szCs w:val="20"/>
        </w:rPr>
        <w:t xml:space="preserve">Trial Court Held:</w:t>
      </w:r>
      <w:r>
        <w:rPr>
          <w:rFonts w:ascii="Kalpurush" w:cs="Kalpurush" w:eastAsia="Kalpurush" w:hAnsi="Kalpurush"/>
          <w:sz w:val="20"/>
          <w:szCs w:val="20"/>
        </w:rPr>
        <w:t xml:space="preserve"> বিবাদীদের প্রতিরক্ষা গ্রহণযোগ্য।</w:t>
      </w:r>
    </w:p>
    <w:p>
      <w:pPr>
        <w:pStyle w:val="ListParagraph"/>
        <w:numPr>
          <w:ilvl w:val="0"/>
          <w:numId w:val="1"/>
        </w:numPr>
      </w:pPr>
      <w:r>
        <w:rPr>
          <w:rFonts w:ascii="Kalpurush" w:cs="Kalpurush" w:eastAsia="Kalpurush" w:hAnsi="Kalpurush"/>
          <w:b/>
          <w:bCs/>
          <w:sz w:val="20"/>
          <w:szCs w:val="20"/>
        </w:rPr>
        <w:t xml:space="preserve">Why Wrong:</w:t>
      </w:r>
      <w:r>
        <w:rPr>
          <w:rFonts w:ascii="Kalpurush" w:cs="Kalpurush" w:eastAsia="Kalpurush" w:hAnsi="Kalpurush"/>
          <w:sz w:val="20"/>
          <w:szCs w:val="20"/>
        </w:rPr>
        <w:t xml:space="preserve"> </w:t>
      </w:r>
    </w:p>
    <w:p>
      <w:r>
        <w:rPr>
          <w:rFonts w:ascii="Kalpurush" w:cs="Kalpurush" w:eastAsia="Kalpurush" w:hAnsi="Kalpurush"/>
          <w:sz w:val="20"/>
          <w:szCs w:val="20"/>
        </w:rPr>
        <w:t xml:space="preserve">  1. বিবাদীদের ১৯৭৫ সালের দলিলে (Exh Kha-1) SA ২৩৮-এ ৬টি দাগ (আদালতে দাবি ছিল ১টি)।</w:t>
      </w:r>
    </w:p>
    <w:p>
      <w:r>
        <w:rPr>
          <w:rFonts w:ascii="Kalpurush" w:cs="Kalpurush" w:eastAsia="Kalpurush" w:hAnsi="Kalpurush"/>
          <w:sz w:val="20"/>
          <w:szCs w:val="20"/>
        </w:rPr>
        <w:t xml:space="preserve">  2. DW-4 জবানবন্দিতে স্বীকার করেন ভলিউম নোট ভিন্ন কালিতে এবং প্রজার নাম বলেন "আব্দুল আলীম"।</w:t>
      </w:r>
    </w:p>
    <w:p>
      <w:r>
        <w:rPr>
          <w:rFonts w:ascii="Kalpurush" w:cs="Kalpurush" w:eastAsia="Kalpurush" w:hAnsi="Kalpurush"/>
          <w:sz w:val="20"/>
          <w:szCs w:val="20"/>
        </w:rPr>
        <w:t xml:space="preserve">  3. সোনাভানুর অন্য বোনদের (বেলুয়া ও কমলা) নাম বাদ পড়া।</w:t>
      </w:r>
    </w:p>
    <w:p>
      <w:r>
        <w:rPr>
          <w:rFonts w:ascii="Kalpurush" w:cs="Kalpurush" w:eastAsia="Kalpurush" w:hAnsi="Kalpurush"/>
          <w:sz w:val="20"/>
          <w:szCs w:val="20"/>
        </w:rPr>
        <w:t xml:space="preserve">  4. </w:t>
      </w:r>
      <w:r>
        <w:rPr>
          <w:rFonts w:ascii="Kalpurush" w:cs="Kalpurush" w:eastAsia="Kalpurush" w:hAnsi="Kalpurush"/>
          <w:b/>
          <w:bCs/>
          <w:sz w:val="20"/>
          <w:szCs w:val="20"/>
        </w:rPr>
        <w:t xml:space="preserve">Supporting Circumstance:</w:t>
      </w:r>
      <w:r>
        <w:rPr>
          <w:rFonts w:ascii="Kalpurush" w:cs="Kalpurush" w:eastAsia="Kalpurush" w:hAnsi="Kalpurush"/>
          <w:sz w:val="20"/>
          <w:szCs w:val="20"/>
        </w:rPr>
        <w:t xml:space="preserve"> *As a supporting circumstance, the arithmetic discrepancy (486 decimals claimed vs 477 decimals plot area) further underscores the inconsistency of the respondents' position.*</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CHAPTER 6: Partition Suit Maintainability</w:t>
      </w:r>
    </w:p>
    <w:p>
      <w:pPr>
        <w:pStyle w:val="ListParagraph"/>
        <w:numPr>
          <w:ilvl w:val="0"/>
          <w:numId w:val="1"/>
        </w:numPr>
      </w:pPr>
      <w:r>
        <w:rPr>
          <w:rFonts w:ascii="Kalpurush" w:cs="Kalpurush" w:eastAsia="Kalpurush" w:hAnsi="Kalpurush"/>
          <w:b/>
          <w:bCs/>
          <w:sz w:val="20"/>
          <w:szCs w:val="20"/>
        </w:rPr>
        <w:t xml:space="preserve">Trial Court Held:</w:t>
      </w:r>
      <w:r>
        <w:rPr>
          <w:rFonts w:ascii="Kalpurush" w:cs="Kalpurush" w:eastAsia="Kalpurush" w:hAnsi="Kalpurush"/>
          <w:sz w:val="20"/>
          <w:szCs w:val="20"/>
        </w:rPr>
        <w:t xml:space="preserve"> আংশিক বাটোয়ারা (Hotchpot) ও Non-joinder দোষে মামলা খারিজ।</w:t>
      </w:r>
    </w:p>
    <w:p>
      <w:pPr>
        <w:pStyle w:val="ListParagraph"/>
        <w:numPr>
          <w:ilvl w:val="0"/>
          <w:numId w:val="1"/>
        </w:numPr>
      </w:pPr>
      <w:r>
        <w:rPr>
          <w:rFonts w:ascii="Kalpurush" w:cs="Kalpurush" w:eastAsia="Kalpurush" w:hAnsi="Kalpurush"/>
          <w:b/>
          <w:bCs/>
          <w:sz w:val="20"/>
          <w:szCs w:val="20"/>
        </w:rPr>
        <w:t xml:space="preserve">Why Wrong:</w:t>
      </w:r>
      <w:r>
        <w:rPr>
          <w:rFonts w:ascii="Kalpurush" w:cs="Kalpurush" w:eastAsia="Kalpurush" w:hAnsi="Kalpurush"/>
          <w:sz w:val="20"/>
          <w:szCs w:val="20"/>
        </w:rPr>
        <w:t xml:space="preserve"> বাটোয়ারা আদালত Incidental Title নির্ধারণ করতে পারেন। *The alleged Government land is neither claimed by the plaintiffs nor sought to be partitioned.* পৃথক খতিয়ান বা সরকারি জমি বাদ দিলে Hotchpot হয় না (27 BLD 229)। ব্যক্তিমালিকানাধীন বাটোয়ারায় সরকার Necessary Party নয় (49 DLR (AD) 15)।</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FOCUSED BENCH QUESTIONS (TOP 10 QUICK REFERENCE)</w:t>
      </w:r>
    </w:p>
    <w:p>
      <w:r>
        <w:rPr>
          <w:rFonts w:ascii="Kalpurush" w:cs="Kalpurush" w:eastAsia="Kalpurush" w:hAnsi="Kalpurush"/>
        </w:rPr>
        <w:t xml:space="preserve"/>
      </w:r>
    </w:p>
    <w:p>
      <w:r>
        <w:rPr>
          <w:rFonts w:ascii="Kalpurush" w:cs="Kalpurush" w:eastAsia="Kalpurush" w:hAnsi="Kalpurush"/>
          <w:sz w:val="20"/>
          <w:szCs w:val="20"/>
        </w:rPr>
        <w:t xml:space="preserve">1. </w:t>
      </w:r>
      <w:r>
        <w:rPr>
          <w:rFonts w:ascii="Kalpurush" w:cs="Kalpurush" w:eastAsia="Kalpurush" w:hAnsi="Kalpurush"/>
          <w:b/>
          <w:bCs/>
          <w:sz w:val="20"/>
          <w:szCs w:val="20"/>
        </w:rPr>
        <w:t xml:space="preserve">Misc Case-এর সার্টিফাইড কপি বা মূল ফাইল দাখিল/সমন করা হয়নি কেন?</w:t>
      </w:r>
      <w:r>
        <w:rPr>
          <w:rFonts w:ascii="Kalpurush" w:cs="Kalpurush" w:eastAsia="Kalpurush" w:hAnsi="Kalpurush"/>
          <w:sz w:val="20"/>
          <w:szCs w:val="20"/>
        </w:rPr>
        <w:t xml:space="preserve"> $\rightarrow$ বাস্তবে কোনো বিচারিক আদেশের অস্তিত্বই ছিল না; Evidence Act s.114(g)-তে Adverse Inference গ্রহণীয়।</w:t>
      </w:r>
    </w:p>
    <w:p>
      <w:r>
        <w:rPr>
          <w:rFonts w:ascii="Kalpurush" w:cs="Kalpurush" w:eastAsia="Kalpurush" w:hAnsi="Kalpurush"/>
          <w:sz w:val="20"/>
          <w:szCs w:val="20"/>
        </w:rPr>
        <w:t xml:space="preserve">2. </w:t>
      </w:r>
      <w:r>
        <w:rPr>
          <w:rFonts w:ascii="Kalpurush" w:cs="Kalpurush" w:eastAsia="Kalpurush" w:hAnsi="Kalpurush"/>
          <w:b/>
          <w:bCs/>
          <w:sz w:val="20"/>
          <w:szCs w:val="20"/>
        </w:rPr>
        <w:t xml:space="preserve">AC Land ভলিউম নোটের আইনি গুরুত্ব কতটুকু?</w:t>
      </w:r>
      <w:r>
        <w:rPr>
          <w:rFonts w:ascii="Kalpurush" w:cs="Kalpurush" w:eastAsia="Kalpurush" w:hAnsi="Kalpurush"/>
          <w:sz w:val="20"/>
          <w:szCs w:val="20"/>
        </w:rPr>
        <w:t xml:space="preserve"> $\rightarrow$ Parent Order ছাড়া Volume Note-এর Presumption নাই (53 DLR 19)।</w:t>
      </w:r>
    </w:p>
    <w:p>
      <w:r>
        <w:rPr>
          <w:rFonts w:ascii="Kalpurush" w:cs="Kalpurush" w:eastAsia="Kalpurush" w:hAnsi="Kalpurush"/>
          <w:sz w:val="20"/>
          <w:szCs w:val="20"/>
        </w:rPr>
        <w:t xml:space="preserve">3. </w:t>
      </w:r>
      <w:r>
        <w:rPr>
          <w:rFonts w:ascii="Kalpurush" w:cs="Kalpurush" w:eastAsia="Kalpurush" w:hAnsi="Kalpurush"/>
          <w:b/>
          <w:bCs/>
          <w:sz w:val="20"/>
          <w:szCs w:val="20"/>
        </w:rPr>
        <w:t xml:space="preserve">AC Land কি স্বত্ব খর্ব করতে পারেন?</w:t>
      </w:r>
      <w:r>
        <w:rPr>
          <w:rFonts w:ascii="Kalpurush" w:cs="Kalpurush" w:eastAsia="Kalpurush" w:hAnsi="Kalpurush"/>
          <w:sz w:val="20"/>
          <w:szCs w:val="20"/>
        </w:rPr>
        <w:t xml:space="preserve"> $\rightarrow$ না, রাজস্ব কর্মকর্তার কোনো Title Adjudication-এর এখতিয়ার নাই (18 BLC 235; 29 BLC 160)।</w:t>
      </w:r>
    </w:p>
    <w:p>
      <w:r>
        <w:rPr>
          <w:rFonts w:ascii="Kalpurush" w:cs="Kalpurush" w:eastAsia="Kalpurush" w:hAnsi="Kalpurush"/>
          <w:sz w:val="20"/>
          <w:szCs w:val="20"/>
        </w:rPr>
        <w:t xml:space="preserve">4. </w:t>
      </w:r>
      <w:r>
        <w:rPr>
          <w:rFonts w:ascii="Kalpurush" w:cs="Kalpurush" w:eastAsia="Kalpurush" w:hAnsi="Kalpurush"/>
          <w:b/>
          <w:bCs/>
          <w:sz w:val="20"/>
          <w:szCs w:val="20"/>
        </w:rPr>
        <w:t xml:space="preserve">১৯৩৪ সালের পত্তনের আইনি অবস্থা কি?</w:t>
      </w:r>
      <w:r>
        <w:rPr>
          <w:rFonts w:ascii="Kalpurush" w:cs="Kalpurush" w:eastAsia="Kalpurush" w:hAnsi="Kalpurush"/>
          <w:sz w:val="20"/>
          <w:szCs w:val="20"/>
        </w:rPr>
        <w:t xml:space="preserve"> $\rightarrow$ SAT Act s.86-এ প্রাক-SA অনিবন্ধিত দাবি খতিয়ানের বিপরীতে অকার্যকর (4 SCOB [2015] HCD 52)।</w:t>
      </w:r>
    </w:p>
    <w:p>
      <w:r>
        <w:rPr>
          <w:rFonts w:ascii="Kalpurush" w:cs="Kalpurush" w:eastAsia="Kalpurush" w:hAnsi="Kalpurush"/>
          <w:sz w:val="20"/>
          <w:szCs w:val="20"/>
        </w:rPr>
        <w:t xml:space="preserve">5. </w:t>
      </w:r>
      <w:r>
        <w:rPr>
          <w:rFonts w:ascii="Kalpurush" w:cs="Kalpurush" w:eastAsia="Kalpurush" w:hAnsi="Kalpurush"/>
          <w:b/>
          <w:bCs/>
          <w:sz w:val="20"/>
          <w:szCs w:val="20"/>
        </w:rPr>
        <w:t xml:space="preserve">১৯৭৫ সালের দলিল কেন বিবাদীদের বিরুদ্ধে যায়?</w:t>
      </w:r>
      <w:r>
        <w:rPr>
          <w:rFonts w:ascii="Kalpurush" w:cs="Kalpurush" w:eastAsia="Kalpurush" w:hAnsi="Kalpurush"/>
          <w:sz w:val="20"/>
          <w:szCs w:val="20"/>
        </w:rPr>
        <w:t xml:space="preserve"> $\rightarrow$ বিবাদীরা নিজেরা দলিলে ৬টি দাগ উল্লেখ করেছে, অথচ আদালতে ১টি দাগের দাবি তুলে ধরেছে (Deed 3596/1975)।</w:t>
      </w:r>
    </w:p>
    <w:p>
      <w:r>
        <w:rPr>
          <w:rFonts w:ascii="Kalpurush" w:cs="Kalpurush" w:eastAsia="Kalpurush" w:hAnsi="Kalpurush"/>
          <w:sz w:val="20"/>
          <w:szCs w:val="20"/>
        </w:rPr>
        <w:t xml:space="preserve">6. </w:t>
      </w:r>
      <w:r>
        <w:rPr>
          <w:rFonts w:ascii="Kalpurush" w:cs="Kalpurush" w:eastAsia="Kalpurush" w:hAnsi="Kalpurush"/>
          <w:b/>
          <w:bCs/>
          <w:sz w:val="20"/>
          <w:szCs w:val="20"/>
        </w:rPr>
        <w:t xml:space="preserve">সরকারি জমি বাদ পড়ায় Hotchpot দোষ হয়েছে কিনা?</w:t>
      </w:r>
      <w:r>
        <w:rPr>
          <w:rFonts w:ascii="Kalpurush" w:cs="Kalpurush" w:eastAsia="Kalpurush" w:hAnsi="Kalpurush"/>
          <w:sz w:val="20"/>
          <w:szCs w:val="20"/>
        </w:rPr>
        <w:t xml:space="preserve"> $\rightarrow$ না, The alleged Government land is neither claimed by the plaintiffs nor sought to be partitioned (27 BLD 229)।</w:t>
      </w:r>
    </w:p>
    <w:p>
      <w:r>
        <w:rPr>
          <w:rFonts w:ascii="Kalpurush" w:cs="Kalpurush" w:eastAsia="Kalpurush" w:hAnsi="Kalpurush"/>
          <w:sz w:val="20"/>
          <w:szCs w:val="20"/>
        </w:rPr>
        <w:t xml:space="preserve">7. </w:t>
      </w:r>
      <w:r>
        <w:rPr>
          <w:rFonts w:ascii="Kalpurush" w:cs="Kalpurush" w:eastAsia="Kalpurush" w:hAnsi="Kalpurush"/>
          <w:b/>
          <w:bCs/>
          <w:sz w:val="20"/>
          <w:szCs w:val="20"/>
        </w:rPr>
        <w:t xml:space="preserve">সরকারকে পক্ষ না করায় মামলা খারিজ হবে কিনা?</w:t>
      </w:r>
      <w:r>
        <w:rPr>
          <w:rFonts w:ascii="Kalpurush" w:cs="Kalpurush" w:eastAsia="Kalpurush" w:hAnsi="Kalpurush"/>
          <w:sz w:val="20"/>
          <w:szCs w:val="20"/>
        </w:rPr>
        <w:t xml:space="preserve"> $\rightarrow$ না, প্রাইভেট বাটোয়ারায় সরকার Necessary Party নয় (49 DLR (AD) 15)।</w:t>
      </w:r>
    </w:p>
    <w:p>
      <w:r>
        <w:rPr>
          <w:rFonts w:ascii="Kalpurush" w:cs="Kalpurush" w:eastAsia="Kalpurush" w:hAnsi="Kalpurush"/>
          <w:sz w:val="20"/>
          <w:szCs w:val="20"/>
        </w:rPr>
        <w:t xml:space="preserve">8. </w:t>
      </w:r>
      <w:r>
        <w:rPr>
          <w:rFonts w:ascii="Kalpurush" w:cs="Kalpurush" w:eastAsia="Kalpurush" w:hAnsi="Kalpurush"/>
          <w:b/>
          <w:bCs/>
          <w:sz w:val="20"/>
          <w:szCs w:val="20"/>
        </w:rPr>
        <w:t xml:space="preserve">DW-4 জেরায় কি স্বীকার করেছেন?</w:t>
      </w:r>
      <w:r>
        <w:rPr>
          <w:rFonts w:ascii="Kalpurush" w:cs="Kalpurush" w:eastAsia="Kalpurush" w:hAnsi="Kalpurush"/>
          <w:sz w:val="20"/>
          <w:szCs w:val="20"/>
        </w:rPr>
        <w:t xml:space="preserve"> $\rightarrow$ ভিন্ন কালি, মূল ফাইলের অনুপস্থিতি এবং লেখক চিহ্নিত করতে না পারা।</w:t>
      </w:r>
    </w:p>
    <w:p>
      <w:r>
        <w:rPr>
          <w:rFonts w:ascii="Kalpurush" w:cs="Kalpurush" w:eastAsia="Kalpurush" w:hAnsi="Kalpurush"/>
          <w:sz w:val="20"/>
          <w:szCs w:val="20"/>
        </w:rPr>
        <w:t xml:space="preserve">9. </w:t>
      </w:r>
      <w:r>
        <w:rPr>
          <w:rFonts w:ascii="Kalpurush" w:cs="Kalpurush" w:eastAsia="Kalpurush" w:hAnsi="Kalpurush"/>
          <w:b/>
          <w:bCs/>
          <w:sz w:val="20"/>
          <w:szCs w:val="20"/>
        </w:rPr>
        <w:t xml:space="preserve">সোনাভানুর বোনদের নাম বাদ পড়া কেন তাৎপর্যপূর্ণ?</w:t>
      </w:r>
      <w:r>
        <w:rPr>
          <w:rFonts w:ascii="Kalpurush" w:cs="Kalpurush" w:eastAsia="Kalpurush" w:hAnsi="Kalpurush"/>
          <w:sz w:val="20"/>
          <w:szCs w:val="20"/>
        </w:rPr>
        <w:t xml:space="preserve"> $\rightarrow$ ইহা প্রথাগত উত্তরাধিকার সংশোধনের দাবিকে দুর্বল করে।</w:t>
      </w:r>
    </w:p>
    <w:p>
      <w:r>
        <w:rPr>
          <w:rFonts w:ascii="Kalpurush" w:cs="Kalpurush" w:eastAsia="Kalpurush" w:hAnsi="Kalpurush"/>
          <w:sz w:val="20"/>
          <w:szCs w:val="20"/>
        </w:rPr>
        <w:t xml:space="preserve">10. </w:t>
      </w:r>
      <w:r>
        <w:rPr>
          <w:rFonts w:ascii="Kalpurush" w:cs="Kalpurush" w:eastAsia="Kalpurush" w:hAnsi="Kalpurush"/>
          <w:b/>
          <w:bCs/>
          <w:sz w:val="20"/>
          <w:szCs w:val="20"/>
        </w:rPr>
        <w:t xml:space="preserve">জেলা প্রশাসকের রেকর্ড রুমের অপরিবর্তিত খতিয়ানের গুরুত্ব কি?</w:t>
      </w:r>
      <w:r>
        <w:rPr>
          <w:rFonts w:ascii="Kalpurush" w:cs="Kalpurush" w:eastAsia="Kalpurush" w:hAnsi="Kalpurush"/>
          <w:sz w:val="20"/>
          <w:szCs w:val="20"/>
        </w:rPr>
        <w:t xml:space="preserve"> $\rightarrow$ জেলা রেকর্ড রুমই Statutory ROR-এর সংবিধিবদ্ধ অভিভাবক; ৫০ বছর সেখানে নাম অপরিবর্তিত।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ISSUE-WISE AUTHORITIES INDEX (QUICK LOOKUP)</w:t>
      </w:r>
    </w:p>
    <w:p>
      <w:r>
        <w:rPr>
          <w:rFonts w:ascii="Kalpurush" w:cs="Kalpurush" w:eastAsia="Kalpurush" w:hAnsi="Kalpurush"/>
        </w:rPr>
        <w:t xml:space="preserve"/>
      </w:r>
    </w:p>
    <w:p>
      <w:pPr>
        <w:pStyle w:val="ListParagraph"/>
        <w:numPr>
          <w:ilvl w:val="0"/>
          <w:numId w:val="1"/>
        </w:numPr>
      </w:pPr>
      <w:r>
        <w:rPr>
          <w:rFonts w:ascii="Kalpurush" w:cs="Kalpurush" w:eastAsia="Kalpurush" w:hAnsi="Kalpurush"/>
          <w:b/>
          <w:bCs/>
          <w:sz w:val="20"/>
          <w:szCs w:val="20"/>
        </w:rPr>
        <w:t xml:space="preserve">Issue 1 (Pre-SA Title):</w:t>
      </w:r>
      <w:r>
        <w:rPr>
          <w:rFonts w:ascii="Kalpurush" w:cs="Kalpurush" w:eastAsia="Kalpurush" w:hAnsi="Kalpurush"/>
          <w:sz w:val="20"/>
          <w:szCs w:val="20"/>
        </w:rPr>
        <w:t xml:space="preserve"> 4 SCOB [2015] HCD 52; 12 BLC (AD) 79; 42 DLR (HD) 434.</w:t>
      </w:r>
    </w:p>
    <w:p>
      <w:pPr>
        <w:pStyle w:val="ListParagraph"/>
        <w:numPr>
          <w:ilvl w:val="0"/>
          <w:numId w:val="1"/>
        </w:numPr>
      </w:pPr>
      <w:r>
        <w:rPr>
          <w:rFonts w:ascii="Kalpurush" w:cs="Kalpurush" w:eastAsia="Kalpurush" w:hAnsi="Kalpurush"/>
          <w:b/>
          <w:bCs/>
          <w:sz w:val="20"/>
          <w:szCs w:val="20"/>
        </w:rPr>
        <w:t xml:space="preserve">Issue 2 (SA Presumption &amp; Burden):</w:t>
      </w:r>
      <w:r>
        <w:rPr>
          <w:rFonts w:ascii="Kalpurush" w:cs="Kalpurush" w:eastAsia="Kalpurush" w:hAnsi="Kalpurush"/>
          <w:sz w:val="20"/>
          <w:szCs w:val="20"/>
        </w:rPr>
        <w:t xml:space="preserve"> 56 DLR (AD) 53; 50 DLR (HD) 186; 35 DLR (AD) 230; 45 DLR (AD) 124.</w:t>
      </w:r>
    </w:p>
    <w:p>
      <w:pPr>
        <w:pStyle w:val="ListParagraph"/>
        <w:numPr>
          <w:ilvl w:val="0"/>
          <w:numId w:val="1"/>
        </w:numPr>
      </w:pPr>
      <w:r>
        <w:rPr>
          <w:rFonts w:ascii="Kalpurush" w:cs="Kalpurush" w:eastAsia="Kalpurush" w:hAnsi="Kalpurush"/>
          <w:b/>
          <w:bCs/>
          <w:sz w:val="20"/>
          <w:szCs w:val="20"/>
        </w:rPr>
        <w:t xml:space="preserve">Issue 3 (Alleged Misc Case):</w:t>
      </w:r>
      <w:r>
        <w:rPr>
          <w:rFonts w:ascii="Kalpurush" w:cs="Kalpurush" w:eastAsia="Kalpurush" w:hAnsi="Kalpurush"/>
          <w:sz w:val="20"/>
          <w:szCs w:val="20"/>
        </w:rPr>
        <w:t xml:space="preserve"> 27 BLD (HD) 544; Evidence Act s.114(g).</w:t>
      </w:r>
    </w:p>
    <w:p>
      <w:pPr>
        <w:pStyle w:val="ListParagraph"/>
        <w:numPr>
          <w:ilvl w:val="0"/>
          <w:numId w:val="1"/>
        </w:numPr>
      </w:pPr>
      <w:r>
        <w:rPr>
          <w:rFonts w:ascii="Kalpurush" w:cs="Kalpurush" w:eastAsia="Kalpurush" w:hAnsi="Kalpurush"/>
          <w:b/>
          <w:bCs/>
          <w:sz w:val="20"/>
          <w:szCs w:val="20"/>
        </w:rPr>
        <w:t xml:space="preserve">Issue 4 (Mutation &amp; Volume Note Jurisdiction):</w:t>
      </w:r>
      <w:r>
        <w:rPr>
          <w:rFonts w:ascii="Kalpurush" w:cs="Kalpurush" w:eastAsia="Kalpurush" w:hAnsi="Kalpurush"/>
          <w:sz w:val="20"/>
          <w:szCs w:val="20"/>
        </w:rPr>
        <w:t xml:space="preserve"> 18 SCOB [2023] AD 20; 18 BLC (HD) 235; 29 BLC (HD) 160; 53 DLR (HD) 19; 1 BLT (HD) 18.</w:t>
      </w:r>
    </w:p>
    <w:p>
      <w:pPr>
        <w:pStyle w:val="ListParagraph"/>
        <w:numPr>
          <w:ilvl w:val="0"/>
          <w:numId w:val="1"/>
        </w:numPr>
      </w:pPr>
      <w:r>
        <w:rPr>
          <w:rFonts w:ascii="Kalpurush" w:cs="Kalpurush" w:eastAsia="Kalpurush" w:hAnsi="Kalpurush"/>
          <w:b/>
          <w:bCs/>
          <w:sz w:val="20"/>
          <w:szCs w:val="20"/>
        </w:rPr>
        <w:t xml:space="preserve">Issue 5 (Admissions &amp; Estoppel):</w:t>
      </w:r>
      <w:r>
        <w:rPr>
          <w:rFonts w:ascii="Kalpurush" w:cs="Kalpurush" w:eastAsia="Kalpurush" w:hAnsi="Kalpurush"/>
          <w:sz w:val="20"/>
          <w:szCs w:val="20"/>
        </w:rPr>
        <w:t xml:space="preserve"> Evidence Act ss. 17, 18, 21; Approbate &amp; Reprobate.</w:t>
      </w:r>
    </w:p>
    <w:p>
      <w:pPr>
        <w:pStyle w:val="ListParagraph"/>
        <w:numPr>
          <w:ilvl w:val="0"/>
          <w:numId w:val="1"/>
        </w:numPr>
      </w:pPr>
      <w:r>
        <w:rPr>
          <w:rFonts w:ascii="Kalpurush" w:cs="Kalpurush" w:eastAsia="Kalpurush" w:hAnsi="Kalpurush"/>
          <w:b/>
          <w:bCs/>
          <w:sz w:val="20"/>
          <w:szCs w:val="20"/>
        </w:rPr>
        <w:t xml:space="preserve">Issue 6 (Partition Technicalities):</w:t>
      </w:r>
      <w:r>
        <w:rPr>
          <w:rFonts w:ascii="Kalpurush" w:cs="Kalpurush" w:eastAsia="Kalpurush" w:hAnsi="Kalpurush"/>
          <w:sz w:val="20"/>
          <w:szCs w:val="20"/>
        </w:rPr>
        <w:t xml:space="preserve"> 49 DLR (AD) 15; 27 BLD (HD) 229; 8 SCOB (2016) HCD 1.</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MASTER CLOSING SUBMISSIONS (সমাপনী বক্তব্য)</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respondents have failed to establish either the legal foundation of the alleged correction or the evidentiary basis necessary to displace the statutory presumption attached to the finally published SA Record. The Trial Court, with respect, misdirected itself both on the burden of proof and on the evidentiary value of the record. In these circumstances, the impugned judgment cannot be sustained and the appeal deserves to be allowed with costs."</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আইনজীবী | জেলা জজ আদালত, টাঙ্গাইল | আপীল মামলা নং ৩৮/২০২৬</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2026-07-30T09:38:44.318Z</dcterms:created>
  <dcterms:modified xsi:type="dcterms:W3CDTF">2026-07-30T09:38:44.318Z</dcterms:modified>
</cp:coreProperties>
</file>

<file path=docProps/custom.xml><?xml version="1.0" encoding="utf-8"?>
<Properties xmlns="http://schemas.openxmlformats.org/officeDocument/2006/custom-properties" xmlns:vt="http://schemas.openxmlformats.org/officeDocument/2006/docPropsVTypes"/>
</file>