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93 — Court-Ready Oral Hearing Aid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১৭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নিবেদন ও এখতিয়ারগত স্পষ্টীকরণ (Jurisdictional Clarification)</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এই আপীলে SA ২৩৮ সংশোধন বা বাতিলের জন্য কোনো independent relief প্রার্থনা করা হইতেছে না (যাহা Section 145A বা Land Survey Tribunal-এর বিষয় হইতে পারে); বরং বিচারাধীন বাটোয়ারা মামলার স্বত্ব নিষ্পত্তিতে বিবাদীপক্ষের প্রতিরক্ষার ভিত্তি হিসেবে কথিত ১৯৬৯ সালের সংশোধন আদৌ নির্ভরযোগ্য সাক্ষ্যে প্রমাণিত এবং আইনগতভাবে কার্যকর হইয়াছিল কি না, সেই প্রশ্নের evidentiary sufficiency পরীক্ষা করা হইতেছে। বাটোয়ারা মোকদ্দমায় আনুষঙ্গিক স্বত্বের প্রশ্ন (incidental title) নিষ্পত্তির সম্পূর্ণ দেওয়ানি এখতিয়ার আদালতের রহিয়াছে (23 BLD AD 83)।"*</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Spoken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রেকর্ড চূড়ান্তভাবে প্রকাশিত হয়। বর্তমানে জেলা Settlement Record Room-এ সংরক্ষিত সইমোহরি SA ২৩৮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Evidentiary Advantage):</w:t>
      </w:r>
    </w:p>
    <w:p>
      <w:pPr>
        <w:ind w:left="720"/>
      </w:pPr>
      <w:r>
        <w:rPr>
          <w:rFonts w:ascii="Kalpurush" w:cs="Kalpurush" w:eastAsia="Kalpurush" w:hAnsi="Kalpurush"/>
          <w:i/>
          <w:iCs/>
          <w:sz w:val="20"/>
          <w:szCs w:val="20"/>
        </w:rPr>
        <w:t xml:space="preserve">*মহামান্য আদালত, আপীল্যান্টপক্ষ এমন কোনো absolute proposition করিতেছে না যে revenue record কখনো সংশোধনযোগ্য নহে, অথবা final SA record কখনো ভুল হইতে পারে না। আমাদের বক্তব্য সুনির্দিষ্ট: Section 144A-এর অধীনে SA ২৩৮ একটি rebuttable statutory presumption বহন করে। বিবাদীপক্ষ সেই presumption অতিক্রম করিতে চাহিতেছে একটি alleged 1969 correction-এর ভিত্তিতে। অতএব তাহাদের particular case-এর legal source, proceeding, contents, authority এবং lawful implementation নির্ভরযোগ্য প্রমাণে প্রতিষ্ঠিত হওয়া আবশ্যক।*</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*এই মামলায় একটি AC Land volume entry আছে; কিন্তু সেই entry-এর legal source এবং provenance সম্পর্কে DW-4 নিজেই অজ্ঞতা প্রকাশ করিয়াছেন। কথিত Misc Case-এর parent order আদালতে নাই। বর্তমান District Settlement Record Room-এর SA ২৩৮-এও সোনাভানু recorded co-sharer হিসেবে প্রতিফলিত নন। মূল আদেশ বা আইনগত উৎস প্রমাণিত না হইলে, একটি পরবর্তী revenue entry-কে এককভাবে এমন প্রমাণ হিসেবে গ্রহণ করা নিরাপদ নহে, যাহা final SA record-এর statutory presumption-কে displaced বলিয়া গণ্য করার জন্য যথেষ্ট।*</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*Respondents’ present theory: 1969 correction → SA 238 effectively one dag, Plot 1259.  </w:t>
      </w:r>
    </w:p>
    <w:p>
      <w:pPr>
        <w:ind w:left="720"/>
      </w:pPr>
      <w:r>
        <w:rPr>
          <w:rFonts w:ascii="Kalpurush" w:cs="Kalpurush" w:eastAsia="Kalpurush" w:hAnsi="Kalpurush"/>
          <w:i/>
          <w:iCs/>
          <w:sz w:val="20"/>
          <w:szCs w:val="20"/>
        </w:rPr>
        <w:t xml:space="preserve">Their own registered deed of 1975 (Exhibit Kha-1): SA 238 → six dags, including Plots 1259, 75, 3, 54, 1252 and 1220.  </w:t>
      </w:r>
    </w:p>
    <w:p>
      <w:pPr>
        <w:ind w:left="720"/>
      </w:pPr>
      <w:r>
        <w:rPr>
          <w:rFonts w:ascii="Kalpurush" w:cs="Kalpurush" w:eastAsia="Kalpurush" w:hAnsi="Kalpurush"/>
          <w:i/>
          <w:iCs/>
          <w:sz w:val="20"/>
          <w:szCs w:val="20"/>
        </w:rPr>
        <w:t xml:space="preserve">Question: If the 1969 correction had already altered the SA holding to one dag, why did their own subsequent registered deed describe six dags under the same khatian?  </w:t>
      </w:r>
    </w:p>
    <w:p>
      <w:pPr>
        <w:ind w:left="720"/>
      </w:pPr>
      <w:r>
        <w:rPr>
          <w:rFonts w:ascii="Kalpurush" w:cs="Kalpurush" w:eastAsia="Kalpurush" w:hAnsi="Kalpurush"/>
          <w:i/>
          <w:iCs/>
          <w:sz w:val="20"/>
          <w:szCs w:val="20"/>
        </w:rPr>
        <w:t xml:space="preserve">We do not say this contradiction by itself proves fabrication. We say it materially weakens the evidentiary reliability of the one-dag correction theory unless satisfactorily explained. (বঙ্গানুবাদ: এই বৈপরীত্য নিজে থেকেই জালিয়াতি প্রমাণ করে না, কিন্তু এক-দাগের কথিত সংশোধন তত্ত্বের নির্ভরযোগ্যতাকে মারাত্মকভাবে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*অতএব প্রশ্নটি revenue authority-এর সাধারণ ক্ষমতা আছে কি না—তাহা নহে। প্রশ্নটি হইল: এই particular substantive change আইনসম্মতভাবে ঘটিয়াছিল—ইহার reliable documentary proof কোথায়? আমাদের বিনীত বক্তব্য, রেকর্ডে সেই প্রমাণ যথেষ্টভাবে প্রতিষ্ঠিত হয় নাই। বিজ্ঞ ট্রায়াল কোর্ট এই evidentiary gap-সমূহ বিবেচনা না করিয়া SA ২৩৮-এর statutory presumption-কে খারিজ করিয়াছেন। ১ নং রেসপন্ডেন্ট সোলায়মান হোসেন (আব্দুল আলীর পুত্র) সোলেনামার মাধ্যমে বাটোয়ারায় সম্মতি দিয়াছেন। অতএব ট্রায়াল কোর্টের খারিজ রায় বাতিল করিয়া আব্দুল আলীর উত্তরাধিকারীদের মধ্যে ১৬ আনা হিস্যার ভিত্তিতে প্রাথমিক ডিক্রি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Two-Layer Test (আপীলের মূল আইনি কাঠামো)</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কোনো legally cognizable tenancy interest </w:t>
      </w:r>
      <w:r>
        <w:rPr>
          <w:rFonts w:ascii="Kalpurush" w:cs="Kalpurush" w:eastAsia="Kalpurush" w:hAnsi="Kalpurush"/>
          <w:b/>
          <w:bCs/>
          <w:sz w:val="20"/>
          <w:szCs w:val="20"/>
        </w:rPr>
        <w:t xml:space="preserve">নির্ভরযোগ্যভাবে</w:t>
      </w:r>
      <w:r>
        <w:rPr>
          <w:rFonts w:ascii="Kalpurush" w:cs="Kalpurush" w:eastAsia="Kalpurush" w:hAnsi="Kalpurush"/>
          <w:sz w:val="20"/>
          <w:szCs w:val="20"/>
        </w:rPr>
        <w:t xml:space="preserve"> অর্জন করিয়াছিলেন, যাহার উত্তরাধিকার সোনাভানুর দিকে যায়?</w:t>
      </w:r>
    </w:p>
    <w:p>
      <w:pPr>
        <w:pStyle w:val="ListParagraph"/>
        <w:numPr>
          <w:ilvl w:val="0"/>
          <w:numId w:val="1"/>
        </w:numPr>
      </w:pPr>
      <w:r>
        <w:rPr>
          <w:rFonts w:ascii="Kalpurush" w:cs="Kalpurush" w:eastAsia="Kalpurush" w:hAnsi="Kalpurush"/>
          <w:b/>
          <w:bCs/>
          <w:sz w:val="20"/>
          <w:szCs w:val="20"/>
        </w:rPr>
        <w:t xml:space="preserve">Layer 2 (Displacement) — মূল শক্তি:</w:t>
      </w:r>
      <w:r>
        <w:rPr>
          <w:rFonts w:ascii="Kalpurush" w:cs="Kalpurush" w:eastAsia="Kalpurush" w:hAnsi="Kalpurush"/>
          <w:sz w:val="20"/>
          <w:szCs w:val="20"/>
        </w:rPr>
        <w:t xml:space="preserve"> তর্কের খাতিরে যদি ধরিয়াও নেওয়া হয় যে কোনো pre-SA interest ছিল; তাহা সত্ত্বেও কীভাবে সেই interest আইনগতভাবে আব্দুল আলীর নামে final SA entry-কে অতিক্রম (displace) করিয়া সোনাভানুর জন্য present enforceable interest সৃষ্টি করিল?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establish that Abdul Ali's finally published SA entry was wrong, nor does it establish the lawful creation of a present enforceable interest in Sona Bhanu."</w:t>
      </w:r>
      <w:r>
        <w:rPr>
          <w:rFonts w:ascii="Kalpurush" w:cs="Kalpurush" w:eastAsia="Kalpurush" w:hAnsi="Kalpurush"/>
          <w:i/>
          <w:iCs/>
          <w:sz w:val="20"/>
          <w:szCs w:val="20"/>
        </w:rPr>
        <w:t xml:space="preserve">  </w:t>
      </w:r>
    </w:p>
    <w:p>
      <w:pPr>
        <w:ind w:left="720"/>
      </w:pPr>
      <w:r>
        <w:rPr>
          <w:rFonts w:ascii="Kalpurush" w:cs="Kalpurush" w:eastAsia="Kalpurush" w:hAnsi="Kalpurush"/>
          <w:i/>
          <w:iCs/>
          <w:sz w:val="20"/>
          <w:szCs w:val="20"/>
        </w:rPr>
        <w:t xml:space="preserve">*(বঙ্গানুবাদ: তর্কের খাতিরে যদি সেই দাবি মানিয়াও নেওয়া হয়, তবুও তাহা নিজে থেকেই প্রমাণ করে না যে আব্দুল আলীর চূড়ান্তভাবে প্রকাশিত SA entry ভুল ছিল, এবং তাহা সোনাভানুর জন্য বর্তমান বলবৎযোগ্য স্বত্ব সৃষ্টির বৈধতাও প্রতিষ্ঠিত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Clerical correction ≠ Substantive displacement (Section 143/143C)</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আপীল্যান্টপক্ষ Revenue Officer-এর রেকর্ড সংশোধনের সাধারণ ক্ষমতা অস্বীকার করিতেছে না। SAT Act-এর Section 143 এবং Section 143C-তে clerical mistake ও mutation/inheritance-এর সুনির্দিষ্ট বিধান রহিয়াছে। কিন্তু বর্তমান মামলাটি কোনো সাধারণ করণিক সংশোধনের নহে; বরং চূড়ান্ত রেকর্ডধারী আব্দুল আলীর স্বত্বের বিপরীতে সোনাভানুর substantive interest সৃষ্টির দাবি। সাধারণ ক্ষমতার অস্তিত্ব প্রমাণ করিলেই এই নির্দিষ্ট substantive change-এর বৈধতা প্রমাণিত হয় না; তাহার lawful proceeding, notice, order ও implementation প্রমাণ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Evidentiary Checklist: কথিত সংশোধনের গুরুত্বপূর্ণ প্রশ্নসমূহ</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কথিত Misc Case-এর সার্টিফাইড কপি বা মূল ফাইল কোথায়?  </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ও শর্তাবলী কী ছিল?  </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 (27 BLD HD 544)  </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দেওয়া হইয়াছিল কি?  </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কথিত সংশোধনটির lawful implementation-এর corresponding official trail কোথায়?  </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Authoritative Record:</w:t>
      </w:r>
      <w:r>
        <w:rPr>
          <w:rFonts w:ascii="Kalpurush" w:cs="Kalpurush" w:eastAsia="Kalpurush" w:hAnsi="Kalpurush"/>
          <w:sz w:val="20"/>
          <w:szCs w:val="20"/>
        </w:rPr>
        <w:t xml:space="preserve"> জেলা সেটেলমেন্ট রেকর্ড রুমে আজও আব্দুল আলীর নাম বহাল; সংশোধিত SA ২৩৮-এর সইমোহরি কপি কোথায়?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বিবাদীপক্ষই প্রথম সেই State Recognition-কে ভুল দাবি করিয়াছেন — তাই তাঁহাদের competing root tenancy এবং lawful displacement উভয়ই প্রমাণ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Q2: Misc Case 1181/1969-এর certified copy কেন উপস্থাপিত হয়নি?</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বিবাদীরা Misc Case-এর certified copy দিতে পারেননি; মূল ফাইলও সমন করেননি। কথিত Misc Case-এর মূল নথি বা certified order আদালতে উপস্থাপিত না হওয়ায় alleged correction theory মারাত্মক evidentiary difficulty-র সম্মুখীন হয়।"*</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Revenue authority-এর statutory power থাকলেও, সেই power-এর particular exercise কীভাবে ও কোন ভিত্তির উপর ঘটিয়াছে—তাহা এই মামলায় অপ্রমাণিত। DW-4 নিজেই এন্ট্রির provenance ও legal source ব্যাখ্যা করিতে ব্যর্থ হইয়াছেন।"*</w:t>
      </w:r>
    </w:p>
    <w:p>
      <w:r>
        <w:rPr>
          <w:rFonts w:ascii="Kalpurush" w:cs="Kalpurush" w:eastAsia="Kalpurush" w:hAnsi="Kalpurush"/>
        </w:rPr>
        <w:t xml:space="preserve"/>
      </w:r>
    </w:p>
    <w:p>
      <w:r>
        <w:rPr>
          <w:rFonts w:ascii="Kalpurush" w:cs="Kalpurush" w:eastAsia="Kalpurush" w:hAnsi="Kalpurush"/>
          <w:b/>
          <w:bCs/>
          <w:sz w:val="20"/>
          <w:szCs w:val="20"/>
        </w:rPr>
        <w:t xml:space="preserve">Q4: DW-4 জেরায় কী কী স্বীকার করিয়াছেন?</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DW-4 স্বীকার করিয়াছেন যে ভলিউমের মন্তব্য কলামে মিসকেস নাম্বার অস্পষ্ট, কে বা কবে লিখিয়াছে তাহা অজ্ঞাত, যোগসাজশ আছে কি না জানা নাই, এবং সোনাভানুর নাম ভিন্ন কালিতে লেখা। তিনি কোনো parent file বা মূল আদেশ প্রদর্শন করিতে পারেন নাই।"*</w:t>
      </w:r>
    </w:p>
    <w:p>
      <w:r>
        <w:rPr>
          <w:rFonts w:ascii="Kalpurush" w:cs="Kalpurush" w:eastAsia="Kalpurush" w:hAnsi="Kalpurush"/>
        </w:rPr>
        <w:t xml:space="preserve"/>
      </w:r>
    </w:p>
    <w:p>
      <w:r>
        <w:rPr>
          <w:rFonts w:ascii="Kalpurush" w:cs="Kalpurush" w:eastAsia="Kalpurush" w:hAnsi="Kalpurush"/>
          <w:b/>
          <w:bCs/>
          <w:sz w:val="20"/>
          <w:szCs w:val="20"/>
        </w:rPr>
        <w:t xml:space="preserve">Q5: District Record Room-এর অপরিবর্তিত খতিয়ানের গুরুত্ব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আজও District Settlement Record Room-এ SA ২৩৮-এ Abdul Ali-এর নাম এককভাবে বহাল। যে পক্ষ correction-এর উপর substantive title দাবি করিতেছে, সে correction-এর authoritative existence, content এবং implementation প্রমাণে কোনো documentary chain উপস্থাপন করিতে পারেনি।"*</w:t>
      </w:r>
    </w:p>
    <w:p>
      <w:r>
        <w:rPr>
          <w:rFonts w:ascii="Kalpurush" w:cs="Kalpurush" w:eastAsia="Kalpurush" w:hAnsi="Kalpurush"/>
        </w:rPr>
        <w:t xml:space="preserve"/>
      </w:r>
    </w:p>
    <w:p>
      <w:r>
        <w:rPr>
          <w:rFonts w:ascii="Kalpurush" w:cs="Kalpurush" w:eastAsia="Kalpurush" w:hAnsi="Kalpurush"/>
          <w:b/>
          <w:bCs/>
          <w:sz w:val="20"/>
          <w:szCs w:val="20"/>
        </w:rPr>
        <w:t xml:space="preserve">Q6: ১৯৭৫ সালের দলিলে ৬ দাগের বিষয়টি কতটা গুরুত্বপূর্ণ?</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বিবাদীদের বর্তমান দাবি ১৯৬৯ সালের সংশোধনে SA ২৩৮ কেবল ১টি দাগে (১২৫৯ দাগ) সীমাবদ্ধ হইয়াছে। অথচ তাহাদের নিজেদের ১৯৭৫ সালের রেজিস্ট্রিকৃত দলিলেই ৬টি দাগের (১২৫৯, ৭৫, ৩, ৫৪, ১২৫২, ১২২০) বর্ণনা রহিয়াছে (Exhibit Kha-1)। এই বৈপরীত্য এক-দাগের সংশোধন তত্ত্বের নির্ভরযোগ্যতাকে মারাত্মকভাবে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Q7: ১৯৫৭ সালের দলিলের ভূমিকা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২৩৯৮/১৯৫৭ নং দলিল SA ২৩৮-এর title source নহে; এটি SA operation চলাকালীন সমসাময়িক নিবন্ধিত দালিলিক সম্পর্কের (Contemporaneous corroborative circumstance) প্রমাণ।"*</w:t>
      </w:r>
    </w:p>
    <w:p>
      <w:r>
        <w:rPr>
          <w:rFonts w:ascii="Kalpurush" w:cs="Kalpurush" w:eastAsia="Kalpurush" w:hAnsi="Kalpurush"/>
        </w:rPr>
        <w:t xml:space="preserve"/>
      </w:r>
    </w:p>
    <w:p>
      <w:r>
        <w:rPr>
          <w:rFonts w:ascii="Kalpurush" w:cs="Kalpurush" w:eastAsia="Kalpurush" w:hAnsi="Kalpurush"/>
          <w:b/>
          <w:bCs/>
          <w:sz w:val="20"/>
          <w:szCs w:val="20"/>
        </w:rPr>
        <w:t xml:space="preserve">Q8: Abdul Karim-এর pre-SA interest ধরে নিলে কী হয়?</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even assuming for argument's sake that Abdul Karim had some pre-SA interest, that assumption alone does not prove that Abdul Ali's finally published SA entry was wrong, nor does it prove how Sona Bhanu acquired a legally effective present interest in SA 238 (Layer 2 Fallback)।"*</w:t>
      </w:r>
    </w:p>
    <w:p>
      <w:r>
        <w:rPr>
          <w:rFonts w:ascii="Kalpurush" w:cs="Kalpurush" w:eastAsia="Kalpurush" w:hAnsi="Kalpurush"/>
        </w:rPr>
        <w:t xml:space="preserve"/>
      </w:r>
    </w:p>
    <w:p>
      <w:r>
        <w:rPr>
          <w:rFonts w:ascii="Kalpurush" w:cs="Kalpurush" w:eastAsia="Kalpurush" w:hAnsi="Kalpurush"/>
          <w:b/>
          <w:bCs/>
          <w:sz w:val="20"/>
          <w:szCs w:val="20"/>
        </w:rPr>
        <w:t xml:space="preserve">Q9: সরকারি জমি বাদ পড়ায় কি Hotchpot দোষ হইয়াছে?</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একই দাগের সরকারি জমি পৃথক খতিয়ানে। পৃথক খতিয়ানের জমি বা সরকারের জমি ব্যক্তিমালিকানাধীন বাটোয়ারায় আনা বাধ্যতামূলক নহে (27 BLD HD 229)। বাদীদের তফসিলে ৩৪০ শতাংশ + সরকারি ১৩৭ শতাংশ = ৪৭৭ শতাংশ দাগের মোট পরিমাপের সাথে নিখুঁতভাবে মিলে যায়।"*</w:t>
      </w:r>
    </w:p>
    <w:p>
      <w:r>
        <w:rPr>
          <w:rFonts w:ascii="Kalpurush" w:cs="Kalpurush" w:eastAsia="Kalpurush" w:hAnsi="Kalpurush"/>
        </w:rPr>
        <w:t xml:space="preserve"/>
      </w:r>
    </w:p>
    <w:p>
      <w:r>
        <w:rPr>
          <w:rFonts w:ascii="Kalpurush" w:cs="Kalpurush" w:eastAsia="Kalpurush" w:hAnsi="Kalpurush"/>
          <w:b/>
          <w:bCs/>
          <w:sz w:val="20"/>
          <w:szCs w:val="20"/>
        </w:rPr>
        <w:t xml:space="preserve">Q10: ১ নং রেসপন্ডেন্ট সোলায়মান হোসেনের সোলেনামার তাৎপর্য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১ নং রেসপন্ডেন্ট সোলায়মান হোসেন (আব্দুল আলীর পুত্র) সোলেনামা দাখিল করিয়া বাটোয়ারায় সম্মতি দিয়াছেন (CPC Order XXIII Rule 3)। ইহা প্রমাণ করে যে মূল রেকর্ডভুক্ত প্রজার বংশধরদের মধ্যে কোনো বিরোধ নাই; বিরোধ কেবল বাইরের অপ্রমাণিত দাবিদারদের সহিত।"*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ট্রায়াল কোর্টের সিদ্ধান্ত (ইস্যুভিত্তিক)</w:t>
            </w:r>
          </w:p>
        </w:tc>
        <w:tc>
          <w:p>
            <w:r>
              <w:rPr>
                <w:rFonts w:ascii="Kalpurush" w:cs="Kalpurush" w:eastAsia="Kalpurush" w:hAnsi="Kalpurush"/>
                <w:sz w:val="20"/>
                <w:szCs w:val="20"/>
              </w:rPr>
              <w:t xml:space="preserve">আপীল আদালতের দৃষ্টিতে ত্রুটি (Appellate Error)</w:t>
            </w:r>
          </w:p>
        </w:tc>
      </w:tr>
      <w:tr>
        <w:tc>
          <w:p>
            <w:r>
              <w:rPr>
                <w:rFonts w:ascii="Kalpurush" w:cs="Kalpurush" w:eastAsia="Kalpurush" w:hAnsi="Kalpurush"/>
                <w:b/>
                <w:bCs/>
                <w:sz w:val="20"/>
                <w:szCs w:val="20"/>
              </w:rPr>
              <w:t xml:space="preserve">ইস্যু ১ (মূল প্রজা স্বত্ব):</w:t>
            </w:r>
            <w:r>
              <w:rPr>
                <w:rFonts w:ascii="Kalpurush" w:cs="Kalpurush" w:eastAsia="Kalpurush" w:hAnsi="Kalpurush"/>
                <w:sz w:val="20"/>
                <w:szCs w:val="20"/>
              </w:rPr>
              <w:t xml:space="preserve"> আব্দুল করিমকে মূল রায়ত গণ্য করা</w:t>
            </w:r>
          </w:p>
        </w:tc>
        <w:tc>
          <w:p>
            <w:r>
              <w:rPr>
                <w:rFonts w:ascii="Kalpurush" w:cs="Kalpurush" w:eastAsia="Kalpurush" w:hAnsi="Kalpurush"/>
                <w:sz w:val="20"/>
                <w:szCs w:val="20"/>
              </w:rPr>
              <w:t xml:space="preserve">Foundation presumed, not proved — কোনো বৈধ পাট্টা/দাখিলা নাই</w:t>
            </w:r>
          </w:p>
        </w:tc>
      </w:tr>
      <w:tr>
        <w:tc>
          <w:p>
            <w:r>
              <w:rPr>
                <w:rFonts w:ascii="Kalpurush" w:cs="Kalpurush" w:eastAsia="Kalpurush" w:hAnsi="Kalpurush"/>
                <w:b/>
                <w:bCs/>
                <w:sz w:val="20"/>
                <w:szCs w:val="20"/>
              </w:rPr>
              <w:t xml:space="preserve">ইস্যু ২ (SA ২৩৮-এর কার্যকারিতা):</w:t>
            </w:r>
            <w:r>
              <w:rPr>
                <w:rFonts w:ascii="Kalpurush" w:cs="Kalpurush" w:eastAsia="Kalpurush" w:hAnsi="Kalpurush"/>
                <w:sz w:val="20"/>
                <w:szCs w:val="20"/>
              </w:rPr>
              <w:t xml:space="preserve"> SA ২৩৮ ভুল বলিয়া খারিজ</w:t>
            </w:r>
          </w:p>
        </w:tc>
        <w:tc>
          <w:p>
            <w:r>
              <w:rPr>
                <w:rFonts w:ascii="Kalpurush" w:cs="Kalpurush" w:eastAsia="Kalpurush" w:hAnsi="Kalpurush"/>
                <w:sz w:val="20"/>
                <w:szCs w:val="20"/>
              </w:rPr>
              <w:t xml:space="preserve">Section 144A presumption পর্যাপ্ত নির্ভরযোগ্য সাক্ষ্য ব্যতিরেকে খারিজ</w:t>
            </w:r>
          </w:p>
        </w:tc>
      </w:tr>
      <w:tr>
        <w:tc>
          <w:p>
            <w:r>
              <w:rPr>
                <w:rFonts w:ascii="Kalpurush" w:cs="Kalpurush" w:eastAsia="Kalpurush" w:hAnsi="Kalpurush"/>
                <w:b/>
                <w:bCs/>
                <w:sz w:val="20"/>
                <w:szCs w:val="20"/>
              </w:rPr>
              <w:t xml:space="preserve">ইস্যু ৩ (১৯৬৯ মিস কেস ও ভলিউম):</w:t>
            </w:r>
            <w:r>
              <w:rPr>
                <w:rFonts w:ascii="Kalpurush" w:cs="Kalpurush" w:eastAsia="Kalpurush" w:hAnsi="Kalpurush"/>
                <w:sz w:val="20"/>
                <w:szCs w:val="20"/>
              </w:rPr>
              <w:t xml:space="preserve"> AC Land ভলিউম এন্ট্রিকে প্রাধান্য</w:t>
            </w:r>
          </w:p>
        </w:tc>
        <w:tc>
          <w:p>
            <w:r>
              <w:rPr>
                <w:rFonts w:ascii="Kalpurush" w:cs="Kalpurush" w:eastAsia="Kalpurush" w:hAnsi="Kalpurush"/>
                <w:sz w:val="20"/>
                <w:szCs w:val="20"/>
              </w:rPr>
              <w:t xml:space="preserve">Parent order, jurisdiction ও provenance অপ্রমাণিত থাকা সত্ত্বেও গ্রহণ</w:t>
            </w:r>
          </w:p>
        </w:tc>
      </w:tr>
      <w:tr>
        <w:tc>
          <w:p>
            <w:r>
              <w:rPr>
                <w:rFonts w:ascii="Kalpurush" w:cs="Kalpurush" w:eastAsia="Kalpurush" w:hAnsi="Kalpurush"/>
                <w:b/>
                <w:bCs/>
                <w:sz w:val="20"/>
                <w:szCs w:val="20"/>
              </w:rPr>
              <w:t xml:space="preserve">দলিলগত বিবেচনা:</w:t>
            </w:r>
            <w:r>
              <w:rPr>
                <w:rFonts w:ascii="Kalpurush" w:cs="Kalpurush" w:eastAsia="Kalpurush" w:hAnsi="Kalpurush"/>
                <w:sz w:val="20"/>
                <w:szCs w:val="20"/>
              </w:rPr>
              <w:t xml:space="preserve"> ১৯৭৫ দলিলের বৈপরীত্য উপেক্ষা</w:t>
            </w:r>
          </w:p>
        </w:tc>
        <w:tc>
          <w:p>
            <w:r>
              <w:rPr>
                <w:rFonts w:ascii="Kalpurush" w:cs="Kalpurush" w:eastAsia="Kalpurush" w:hAnsi="Kalpurush"/>
                <w:sz w:val="20"/>
                <w:szCs w:val="20"/>
              </w:rPr>
              <w:t xml:space="preserve">১-দাগ বনাম ৬-দাগের স্ববিরোধিতার কোনো বিচারিক ব্যাখ্যা রায়ে নাই</w:t>
            </w:r>
          </w:p>
        </w:tc>
      </w:tr>
      <w:tr>
        <w:tc>
          <w:p>
            <w:r>
              <w:rPr>
                <w:rFonts w:ascii="Kalpurush" w:cs="Kalpurush" w:eastAsia="Kalpurush" w:hAnsi="Kalpurush"/>
                <w:b/>
                <w:bCs/>
                <w:sz w:val="20"/>
                <w:szCs w:val="20"/>
              </w:rPr>
              <w:t xml:space="preserve">ইস্যু ৪ (Hotchpot ও পক্ষদোষ):</w:t>
            </w:r>
            <w:r>
              <w:rPr>
                <w:rFonts w:ascii="Kalpurush" w:cs="Kalpurush" w:eastAsia="Kalpurush" w:hAnsi="Kalpurush"/>
                <w:sz w:val="20"/>
                <w:szCs w:val="20"/>
              </w:rPr>
              <w:t xml:space="preserve"> আংশিক বাটোয়ারায় খারিজ</w:t>
            </w:r>
          </w:p>
        </w:tc>
        <w:tc>
          <w:p>
            <w:r>
              <w:rPr>
                <w:rFonts w:ascii="Kalpurush" w:cs="Kalpurush" w:eastAsia="Kalpurush" w:hAnsi="Kalpurush"/>
                <w:sz w:val="20"/>
                <w:szCs w:val="20"/>
              </w:rPr>
              <w:t xml:space="preserve">পৃথক খতিয়ানের সরকারি জমি বাদ থাকায় technical objection fatal নহে</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প্রার্থিত প্রতিকার (Closing &amp; Prayer)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may have a theory; but a theory is not rebuttal evidence."</w:t>
      </w:r>
      <w:r>
        <w:rPr>
          <w:rFonts w:ascii="Kalpurush" w:cs="Kalpurush" w:eastAsia="Kalpurush" w:hAnsi="Kalpurush"/>
          <w:i/>
          <w:iCs/>
          <w:sz w:val="20"/>
          <w:szCs w:val="20"/>
        </w:rPr>
        <w:t xml:space="preserve">  </w:t>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r>
        <w:rPr>
          <w:rFonts w:ascii="Kalpurush" w:cs="Kalpurush" w:eastAsia="Kalpurush" w:hAnsi="Kalpurush"/>
          <w:b/>
          <w:bCs/>
          <w:sz w:val="20"/>
          <w:szCs w:val="20"/>
        </w:rPr>
        <w:t xml:space="preserve">প্রার্থিত প্রতিকার:</w:t>
      </w:r>
    </w:p>
    <w:p>
      <w:pPr>
        <w:pStyle w:val="ListParagraph"/>
        <w:numPr>
          <w:ilvl w:val="0"/>
          <w:numId w:val="1"/>
        </w:numPr>
      </w:pPr>
      <w:r>
        <w:rPr>
          <w:rFonts w:ascii="Kalpurush" w:cs="Kalpurush" w:eastAsia="Kalpurush" w:hAnsi="Kalpurush"/>
          <w:b/>
          <w:bCs/>
          <w:sz w:val="20"/>
          <w:szCs w:val="20"/>
        </w:rPr>
        <w:t xml:space="preserve">(ক)</w:t>
      </w:r>
      <w:r>
        <w:rPr>
          <w:rFonts w:ascii="Kalpurush" w:cs="Kalpurush" w:eastAsia="Kalpurush" w:hAnsi="Kalpurush"/>
          <w:sz w:val="20"/>
          <w:szCs w:val="20"/>
        </w:rPr>
        <w:t xml:space="preserve"> ০৫/০৪/২০২৬ তারিখের রায় ও ০৯/০৪/২০২৬ তারিখের ডিক্রি বাতিল ও রহিত করা হউক;</w:t>
      </w:r>
    </w:p>
    <w:p>
      <w:pPr>
        <w:pStyle w:val="ListParagraph"/>
        <w:numPr>
          <w:ilvl w:val="0"/>
          <w:numId w:val="1"/>
        </w:numPr>
      </w:pPr>
      <w:r>
        <w:rPr>
          <w:rFonts w:ascii="Kalpurush" w:cs="Kalpurush" w:eastAsia="Kalpurush" w:hAnsi="Kalpurush"/>
          <w:b/>
          <w:bCs/>
          <w:sz w:val="20"/>
          <w:szCs w:val="20"/>
        </w:rPr>
        <w:t xml:space="preserve">(খ)</w:t>
      </w:r>
      <w:r>
        <w:rPr>
          <w:rFonts w:ascii="Kalpurush" w:cs="Kalpurush" w:eastAsia="Kalpurush" w:hAnsi="Kalpurush"/>
          <w:sz w:val="20"/>
          <w:szCs w:val="20"/>
        </w:rPr>
        <w:t xml:space="preserve"> বহাল SA ২৩৮ এবং ১ নং রেসপন্ডেন্ট সোলায়মান হোসেনের সোলেনামার (CPC Order XXIII Rule 3) ভিত্তিতে মূল রেকর্ডভুক্ত রায়ত আব্দুল আলীর বৈধ ওয়ারিশগণের মধ্যে </w:t>
      </w:r>
      <w:r>
        <w:rPr>
          <w:rFonts w:ascii="Kalpurush" w:cs="Kalpurush" w:eastAsia="Kalpurush" w:hAnsi="Kalpurush"/>
          <w:b/>
          <w:bCs/>
          <w:sz w:val="20"/>
          <w:szCs w:val="20"/>
        </w:rPr>
        <w:t xml:space="preserve">১৬ আনা হিস্যার বণ্টন</w:t>
      </w:r>
      <w:r>
        <w:rPr>
          <w:rFonts w:ascii="Kalpurush" w:cs="Kalpurush" w:eastAsia="Kalpurush" w:hAnsi="Kalpurush"/>
          <w:sz w:val="20"/>
          <w:szCs w:val="20"/>
        </w:rPr>
        <w:t xml:space="preserve"> নির্ধারণপূর্বক প্রাথমিক ডিক্রি (Preliminary Decree) প্রদান করা হউক;</w:t>
      </w:r>
    </w:p>
    <w:p>
      <w:pPr>
        <w:pStyle w:val="ListParagraph"/>
        <w:numPr>
          <w:ilvl w:val="0"/>
          <w:numId w:val="1"/>
        </w:numPr>
      </w:pPr>
      <w:r>
        <w:rPr>
          <w:rFonts w:ascii="Kalpurush" w:cs="Kalpurush" w:eastAsia="Kalpurush" w:hAnsi="Kalpurush"/>
          <w:b/>
          <w:bCs/>
          <w:sz w:val="20"/>
          <w:szCs w:val="20"/>
        </w:rPr>
        <w:t xml:space="preserve">(গ)</w:t>
      </w:r>
      <w:r>
        <w:rPr>
          <w:rFonts w:ascii="Kalpurush" w:cs="Kalpurush" w:eastAsia="Kalpurush" w:hAnsi="Kalpurush"/>
          <w:sz w:val="20"/>
          <w:szCs w:val="20"/>
        </w:rPr>
        <w:t xml:space="preserve"> সরকারি ১ নং খাস খতিয়ানভুক্ত ১৩৭ শতক জমি বাটোয়ারার আওতাবহির্ভূত রাখিয়া কেবল ব্যক্তিগত ৩৪০ শতক জমিতে বিজ্ঞ অ্যাডভোকেট কমিশনার নিয়োগের মাধ্যমে সহম বণ্টনের নির্দেশ দেওয়া হউক;</w:t>
      </w:r>
    </w:p>
    <w:p>
      <w:pPr>
        <w:pStyle w:val="ListParagraph"/>
        <w:numPr>
          <w:ilvl w:val="0"/>
          <w:numId w:val="1"/>
        </w:numPr>
      </w:pPr>
      <w:r>
        <w:rPr>
          <w:rFonts w:ascii="Kalpurush" w:cs="Kalpurush" w:eastAsia="Kalpurush" w:hAnsi="Kalpurush"/>
          <w:b/>
          <w:bCs/>
          <w:sz w:val="20"/>
          <w:szCs w:val="20"/>
        </w:rPr>
        <w:t xml:space="preserve">(ঘ) বিকল্পে:</w:t>
      </w:r>
      <w:r>
        <w:rPr>
          <w:rFonts w:ascii="Kalpurush" w:cs="Kalpurush" w:eastAsia="Kalpurush" w:hAnsi="Kalpurush"/>
          <w:sz w:val="20"/>
          <w:szCs w:val="20"/>
        </w:rPr>
        <w:t xml:space="preserve"> CPC Order XLI Rule 23/23A অনুযায়ী মামলাটি বিচারিক আদালতে রিমান্ড (Remand) করা হউক।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শুনানির জন্য “Nine-Step Locked Sequence” (মৌখিক শুনানির মূল ক্রম)</w:t>
      </w:r>
    </w:p>
    <w:p>
      <w:r>
        <w:rPr>
          <w:rFonts w:ascii="Kalpurush" w:cs="Kalpurush" w:eastAsia="Kalpurush" w:hAnsi="Kalpurush"/>
        </w:rPr>
        <w:t xml:space="preserve"/>
      </w:r>
    </w:p>
    <w:p>
      <w:r>
        <w:rPr>
          <w:rFonts w:ascii="Kalpurush" w:cs="Kalpurush" w:eastAsia="Kalpurush" w:hAnsi="Kalpurush"/>
          <w:b/>
          <w:bCs/>
          <w:sz w:val="20"/>
          <w:szCs w:val="20"/>
        </w:rPr>
        <w:t xml:space="preserve">১. SA 238 → Section 144A presumption</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২. Respondents allege later correction</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৩. Where is the parent order?</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৪. What exactly did that order decide?</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৫. What lawful process implemented it?</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৬. Where is the authoritative documentary manifestation of the alleged substantive change?</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৭. Why does the present District Record Room still record Abdul Ali?</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৮. Why does the respondents’ own 1975 deed describe six dags if their theory is one dag?</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৯. Even assuming Abdul Karim had some pre-SA interest, where is the lawful bridge from that interest to Sonabhanu’s present substantive interest? (The Layer 2 Fallback)</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2026-08-17T10:10:15.611Z</dcterms:created>
  <dcterms:modified xsi:type="dcterms:W3CDTF">2026-08-17T10:10:15.611Z</dcterms:modified>
</cp:coreProperties>
</file>

<file path=docProps/custom.xml><?xml version="1.0" encoding="utf-8"?>
<Properties xmlns="http://schemas.openxmlformats.org/officeDocument/2006/custom-properties" xmlns:vt="http://schemas.openxmlformats.org/officeDocument/2006/docPropsVTypes"/>
</file>