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 মামলা নং ৩৮/২০২৬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88 — Measured, Evidence-Centred Oral Hearing Aid with Bengali Translations)</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নিবেদন ও এখতিয়ারগত স্পষ্টীকরণ (Jurisdictional Clarification)</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এই আপীলে SA ২৩৮ সংশোধন বা বাতিলের জন্য কোনো independent relief প্রার্থনা করা হইতেছে না (Section 145A / Land Survey Tribunal-এর সংঘাত এড়াইয়া); বরং বিচারাধীন বাটোয়ারা মামলার স্বত্ব নিষ্পত্তিতে বিবাদীপক্ষের প্রতিরক্ষার ভিত্তি হিসেবে কথিত ১৯৬৯ সালের সংশোধন আদৌ নির্ভরযোগ্য সাক্ষ্যে প্রমাণিত এবং আইনগতভাবে কার্যকর হইয়াছিল কি না, সেই প্রশ্নের evidentiary sufficiency পরীক্ষা করা হইতেছে। বর্তমান রেকর্ডে SA ২৩৮ হলো সেই final Record-of-Rights যাহার entry Section 144A অনুযায়ী সংবিধিবদ্ধ অনুমান বহন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Spoken Oral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Record):</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রেকর্ড চূড়ান্তভাবে প্রকাশিত হয়। বর্তমানে জেলা Settlement Record Room-এ সংরক্ষিত সইমোহরি SA ২৩৮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Evidentiary Advantage):</w:t>
      </w:r>
    </w:p>
    <w:p>
      <w:pPr>
        <w:ind w:left="720"/>
      </w:pPr>
      <w:r>
        <w:rPr>
          <w:rFonts w:ascii="Kalpurush" w:cs="Kalpurush" w:eastAsia="Kalpurush" w:hAnsi="Kalpurush"/>
          <w:i/>
          <w:iCs/>
          <w:sz w:val="20"/>
          <w:szCs w:val="20"/>
        </w:rPr>
        <w:t xml:space="preserve">*মহামান্য আদালত, আপীল্যান্টপক্ষ এমন কোনো absolute proposition করিতেছে না যে revenue record কখনো সংশোধনযোগ্য নহে, অথবা final SA record কখনো ভুল হইতে পারে না। আমাদের বক্তব্য সুনির্দিষ্ট: Section 144A-এর অধীনে SA ২৩৮ একটি rebuttable statutory presumption বহন করে। বিবাদীপক্ষ সেই presumption অতিক্রম করিতে চাহিতেছে একটি alleged 1969 correction-এর ভিত্তিতে। অতএব তাহাদের particular case-এর legal source, proceeding, contents, authority এবং lawful implementation নির্ভরযোগ্য প্রমাণে প্রতিষ্ঠিত হওয়া আবশ্যক।*</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*এই মামলায় একটি AC Land volume entry আছে; কিন্তু সেই entry-এর legal source এবং provenance সম্পর্কে DW-4 নিজেই অজ্ঞতা প্রকাশ করিয়াছেন। কথিত Misc Case-এর parent order আদালতে নাই। বর্তমান District Settlement Record Room-এর SA ২৩৮-এও সোনাভানু recorded co-sharer হিসেবে প্রতিফলিত নন। মূল আদেশ বা আইনগত উৎস প্রমাণিত না হইলে, একটি পরবর্তী revenue entry-কে এককভাবে এমন প্রমাণ হিসেবে গ্রহণ করা নিরাপদ নহে, যাহা final SA record-এর statutory presumption-কে displaced বলিয়া গণ্য করার জন্য যথেষ্ট।*</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*Respondents’ present theory: 1969 correction → SA 238 effectively one dag, Plot 1259.  </w:t>
      </w:r>
    </w:p>
    <w:p>
      <w:pPr>
        <w:ind w:left="720"/>
      </w:pPr>
      <w:r>
        <w:rPr>
          <w:rFonts w:ascii="Kalpurush" w:cs="Kalpurush" w:eastAsia="Kalpurush" w:hAnsi="Kalpurush"/>
          <w:i/>
          <w:iCs/>
          <w:sz w:val="20"/>
          <w:szCs w:val="20"/>
        </w:rPr>
        <w:t xml:space="preserve">Their own registered deed of 1975 (Exhibit Kha-1): SA 238 → six dags, including Plots 1259, 75, 3, 54, 1252 and 1220.  </w:t>
      </w:r>
    </w:p>
    <w:p>
      <w:pPr>
        <w:ind w:left="720"/>
      </w:pPr>
      <w:r>
        <w:rPr>
          <w:rFonts w:ascii="Kalpurush" w:cs="Kalpurush" w:eastAsia="Kalpurush" w:hAnsi="Kalpurush"/>
          <w:i/>
          <w:iCs/>
          <w:sz w:val="20"/>
          <w:szCs w:val="20"/>
        </w:rPr>
        <w:t xml:space="preserve">Question: If the 1969 correction had already altered the SA holding to one dag, why did their own subsequent registered deed describe six dags under the same khatian?  </w:t>
      </w:r>
    </w:p>
    <w:p>
      <w:pPr>
        <w:ind w:left="720"/>
      </w:pPr>
      <w:r>
        <w:rPr>
          <w:rFonts w:ascii="Kalpurush" w:cs="Kalpurush" w:eastAsia="Kalpurush" w:hAnsi="Kalpurush"/>
          <w:i/>
          <w:iCs/>
          <w:sz w:val="20"/>
          <w:szCs w:val="20"/>
        </w:rPr>
        <w:t xml:space="preserve">We do not say this contradiction by itself proves fabrication. We say it materially weakens the evidentiary reliability of the one-dag correction theory unless satisfactorily explained. (বঙ্গানুবাদ: এই বৈপরীত্য নিজে থেকেই জালিয়াতি প্রমাণ করে না, কিন্তু এক-দাগের কথিত সংশোধন তত্ত্বের নির্ভরযোগ্যতাকে মারাত্মকভাবে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*অতএব প্রশ্নটি revenue authority-এর সাধারণ ক্ষমতা আছে কি না—তাহা নহে। প্রশ্নটি হইল: এই particular substantive change আইনসম্মতভাবে ঘটিয়াছিল—ইহার reliable documentary proof কোথায়? আমাদের বিনীত বক্তব্য, রেকর্ডে সেই প্রমাণ যথেষ্টভাবে প্রতিষ্ঠিত হয় নাই। বিজ্ঞ ট্রায়াল কোর্ট এই evidentiary gap-সমূহ বিবেচনা না করিয়া SA ২৩৮-এর statutory presumption-কে খারিজ করিয়াছেন। অতএব ট্রায়াল কোর্টের খারিজ রায় বাতিল করিয়া বাদীদের অনুকূলে প্রাথমিক ডিক্রি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Two-Layer Test (আপীলের মূল আইনি কাঠামো)</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Layer 1 (Competing Root):</w:t>
      </w:r>
      <w:r>
        <w:rPr>
          <w:rFonts w:ascii="Kalpurush" w:cs="Kalpurush" w:eastAsia="Kalpurush" w:hAnsi="Kalpurush"/>
          <w:sz w:val="20"/>
          <w:szCs w:val="20"/>
        </w:rPr>
        <w:t xml:space="preserve"> আব্দুল করিম কি পূর্বে এমন কোনো legally cognizable tenancy interest </w:t>
      </w:r>
      <w:r>
        <w:rPr>
          <w:rFonts w:ascii="Kalpurush" w:cs="Kalpurush" w:eastAsia="Kalpurush" w:hAnsi="Kalpurush"/>
          <w:b/>
          <w:bCs/>
          <w:sz w:val="20"/>
          <w:szCs w:val="20"/>
        </w:rPr>
        <w:t xml:space="preserve">নির্ভরযোগ্যভাবে</w:t>
      </w:r>
      <w:r>
        <w:rPr>
          <w:rFonts w:ascii="Kalpurush" w:cs="Kalpurush" w:eastAsia="Kalpurush" w:hAnsi="Kalpurush"/>
          <w:sz w:val="20"/>
          <w:szCs w:val="20"/>
        </w:rPr>
        <w:t xml:space="preserve"> অর্জন করিয়াছিলেন, যাহার উত্তরাধিকার সোনাভানুর দিকে যায়?</w:t>
      </w:r>
    </w:p>
    <w:p>
      <w:pPr>
        <w:pStyle w:val="ListParagraph"/>
        <w:numPr>
          <w:ilvl w:val="0"/>
          <w:numId w:val="1"/>
        </w:numPr>
      </w:pPr>
      <w:r>
        <w:rPr>
          <w:rFonts w:ascii="Kalpurush" w:cs="Kalpurush" w:eastAsia="Kalpurush" w:hAnsi="Kalpurush"/>
          <w:b/>
          <w:bCs/>
          <w:sz w:val="20"/>
          <w:szCs w:val="20"/>
        </w:rPr>
        <w:t xml:space="preserve">Layer 2 (Displacement) — মূল শক্তি:</w:t>
      </w:r>
      <w:r>
        <w:rPr>
          <w:rFonts w:ascii="Kalpurush" w:cs="Kalpurush" w:eastAsia="Kalpurush" w:hAnsi="Kalpurush"/>
          <w:sz w:val="20"/>
          <w:szCs w:val="20"/>
        </w:rPr>
        <w:t xml:space="preserve"> তর্কের খাতিরে যদি ধরিয়াও নেওয়া হয় যে কোনো pre-SA interest ছিল; তাহা সত্ত্বেও কীভাবে সেই interest আইনগতভাবে আব্দুল আলীর নামে final SA entry-কে অতিক্রম (displace) করিয়া সোনাভানুর জন্য present enforceable interest সৃষ্টি করিল?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for argument's sake, that Abdul Karim had some pre-SA interest, that assumption does not by itself establish that Abdul Ali's finally published SA entry was wrong, nor does it establish the lawful creation of a present enforceable interest in Sona Bhanu."</w:t>
      </w:r>
    </w:p>
    <w:p>
      <w:pPr>
        <w:ind w:left="720"/>
      </w:pPr>
      <w:r>
        <w:rPr>
          <w:rFonts w:ascii="Kalpurush" w:cs="Kalpurush" w:eastAsia="Kalpurush" w:hAnsi="Kalpurush"/>
          <w:i/>
          <w:iCs/>
          <w:sz w:val="20"/>
          <w:szCs w:val="20"/>
        </w:rPr>
        <w:t xml:space="preserve">*(বঙ্গানুবাদ: তর্কের খাতিরে যদি সেই দাবি মানিয়াও নেওয়া হয়, তবুও তাহা নিজে থেকেই প্রমাণ করে না যে আব্দুল আলীর চূড়ান্তভাবে প্রকাশিত SA entry ভুল ছিল, এবং তাহা সোনাভানুর জন্য বর্তমান বলবৎযোগ্য স্বত্ব সৃষ্টির বৈধতাও প্রতিষ্ঠিত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Clerical correction ≠ Substantive displacement (Section 143-এর প্রেক্ষাপট)</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আপীল্যান্টপক্ষ Revenue Officer-এর রেকর্ড সংশোধনের সাধারণ ক্ষমতা অস্বীকার করিতেছে না। SAT Act-এর Section 143 এবং Section 143C-তে clerical mistake ও mutation/inheritance-এর সুনির্দিষ্ট বিধান রহিয়াছে। কিন্তু বর্তমান মামলাটি কোনো সাধারণ করণিক সংশোধনের নহে; বরং চূড়ান্ত রেকর্ডধারী আব্দুল আলীর স্বত্বের বিপরীতে সোনাভানুর substantive interest সৃষ্টির দাবি। সাধারণ ক্ষমতার অস্তিত্ব প্রমাণ করিলেই এই নির্দিষ্ট substantive change-এর বৈধতা প্রমাণিত হয় না; তাহার lawful proceeding, notice, order ও implementation প্রমাণ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Evidentiary Checklist: কথিত সংশোধনের গুরুত্বপূর্ণ প্রশ্নসমূহ</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কথিত Misc Case-এর সার্টিফাইড কপি বা মূল ফাইল কোথায়?  </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আদেশটির সুনির্দিষ্ট বিষয়বস্তু ও শর্তাবলী কী ছিল?  </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কোন এখতিয়ারে আদেশটি প্রদান করা হইয়াছিল?  </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Notice:</w:t>
      </w:r>
      <w:r>
        <w:rPr>
          <w:rFonts w:ascii="Kalpurush" w:cs="Kalpurush" w:eastAsia="Kalpurush" w:hAnsi="Kalpurush"/>
          <w:sz w:val="20"/>
          <w:szCs w:val="20"/>
        </w:rPr>
        <w:t xml:space="preserve"> রেকর্ডভুক্ত প্রজা আব্দুল আলীকে নোটিশ দেওয়া হইয়াছিল কি?  </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কথিত সংশোধনটির lawful implementation-এর corresponding official trail কোথায়?  </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Authoritative Record:</w:t>
      </w:r>
      <w:r>
        <w:rPr>
          <w:rFonts w:ascii="Kalpurush" w:cs="Kalpurush" w:eastAsia="Kalpurush" w:hAnsi="Kalpurush"/>
          <w:sz w:val="20"/>
          <w:szCs w:val="20"/>
        </w:rPr>
        <w:t xml:space="preserve"> জেলা সেটেলমেন্ট রেকর্ড রুমে আজও আব্দুল আলীর নাম বহাল; সংশোধিত SA ২৩৮-এর সইমোহরি কপি কোথায়?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আপনারা যদি ১৯৩৪ সালের পত্তন প্রমাণ না করেন, তবে আব্দুল আলীর স্বত্বের উৎস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আমাদের দাবি আব্দুল করিমের কথিত পত্তন থেকে derivative নয়। আমাদের প্রমাণের কেন্দ্রবিন্দু হলো রাষ্ট্রের Estate Acquisition-পরবর্তী State Recognition এবং finally published SA Record। বিবাদীপক্ষই প্রথম সেই State Recognition-কে ভুল দাবি করিয়াছেন — তাই তাঁহাদের competing root tenancy এবং lawful displacement উভয়ই প্রমাণ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Q2: Misc Case 1181/1969-এর certified copy কেন উপস্থাপিত হয়নি?</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বিবাদীরা Misc Case-এর certified copy দিতে পারেননি; মূল ফাইলও সমন করেননি। কথিত Misc Case-এর মূল নথি বা certified order আদালতে উপস্থাপিত না হওয়ায় alleged correction theory মারাত্মক evidentiary difficulty-র সম্মুখীন হয়।"*</w:t>
      </w:r>
    </w:p>
    <w:p>
      <w:r>
        <w:rPr>
          <w:rFonts w:ascii="Kalpurush" w:cs="Kalpurush" w:eastAsia="Kalpurush" w:hAnsi="Kalpurush"/>
        </w:rPr>
        <w:t xml:space="preserve"/>
      </w:r>
    </w:p>
    <w:p>
      <w:r>
        <w:rPr>
          <w:rFonts w:ascii="Kalpurush" w:cs="Kalpurush" w:eastAsia="Kalpurush" w:hAnsi="Kalpurush"/>
          <w:b/>
          <w:bCs/>
          <w:sz w:val="20"/>
          <w:szCs w:val="20"/>
        </w:rPr>
        <w:t xml:space="preserve">Q3: AC Land ভলিউম এন্ট্রির আইনি গুরুত্ব কতটুকু?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Revenue authority-এর statutory power থাকিলেও, সেই power-এর particular exercise কীভাবে ও কোন ভিত্তির উপর ঘটিয়াছে—তাহা এই মামলায় অপ্রমাণিত। DW-4 নিজেই এন্ট্রির provenance ও legal source ব্যাখ্যা করিতে ব্যর্থ হইয়াছেন।"*</w:t>
      </w:r>
    </w:p>
    <w:p>
      <w:r>
        <w:rPr>
          <w:rFonts w:ascii="Kalpurush" w:cs="Kalpurush" w:eastAsia="Kalpurush" w:hAnsi="Kalpurush"/>
        </w:rPr>
        <w:t xml:space="preserve"/>
      </w:r>
    </w:p>
    <w:p>
      <w:r>
        <w:rPr>
          <w:rFonts w:ascii="Kalpurush" w:cs="Kalpurush" w:eastAsia="Kalpurush" w:hAnsi="Kalpurush"/>
          <w:b/>
          <w:bCs/>
          <w:sz w:val="20"/>
          <w:szCs w:val="20"/>
        </w:rPr>
        <w:t xml:space="preserve">Q4: District Record Room-এর অপরিবর্তিত খতিয়ানের গুরুত্ব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আজও District Settlement Record Room-এ SA ২৩৮-এ Abdul Ali-এর নাম এককভাবে বহাল। যে পক্ষ correction-এর উপর substantive title দাবি করিতেছে, সে correction-এর authoritative existence, content এবং implementation প্রমাণে কোনো documentary chain উপস্থাপন করিতে পারেনি।"*</w:t>
      </w:r>
    </w:p>
    <w:p>
      <w:r>
        <w:rPr>
          <w:rFonts w:ascii="Kalpurush" w:cs="Kalpurush" w:eastAsia="Kalpurush" w:hAnsi="Kalpurush"/>
        </w:rPr>
        <w:t xml:space="preserve"/>
      </w:r>
    </w:p>
    <w:p>
      <w:r>
        <w:rPr>
          <w:rFonts w:ascii="Kalpurush" w:cs="Kalpurush" w:eastAsia="Kalpurush" w:hAnsi="Kalpurush"/>
          <w:b/>
          <w:bCs/>
          <w:sz w:val="20"/>
          <w:szCs w:val="20"/>
        </w:rPr>
        <w:t xml:space="preserve">Q5: ১৯৭৫ সালের দলিলে ৬ দাগের বিষয়টি কতটা গুরুত্বপূর্ণ?</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বিবাদীদের বর্তমান দাবি ১৯৬৯ সালের সংশোধনে SA ২৩৮ কেবল ১টি দাগে সীমাবদ্ধ হইয়াছে। অথচ তাহাদের নিজেদের ১৯৭৫ সালের রেজিস্ট্রিকৃত দলিলেই ৬টি দাগের বর্ণনা রহিয়াছে (Exhibit Kha-1)। এই বৈপরীত্য এক-দাগের সংশোধন তত্ত্বের নির্ভরযোগ্যতাকে মারাত্মকভাবে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Q6: ১৯৫৭ সালের দলিলের ভূমিকা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২৩৯৮/১৯৫৭ নং দলিল SA ২৩৮-এর title source নহে; এটি SA operation চলাকালীন সমসাময়িক নিবন্ধিত দালিলিক সম্পর্কের (Contemporaneous corroborative circumstance) প্রমাণ।"*</w:t>
      </w:r>
    </w:p>
    <w:p>
      <w:r>
        <w:rPr>
          <w:rFonts w:ascii="Kalpurush" w:cs="Kalpurush" w:eastAsia="Kalpurush" w:hAnsi="Kalpurush"/>
        </w:rPr>
        <w:t xml:space="preserve"/>
      </w:r>
    </w:p>
    <w:p>
      <w:r>
        <w:rPr>
          <w:rFonts w:ascii="Kalpurush" w:cs="Kalpurush" w:eastAsia="Kalpurush" w:hAnsi="Kalpurush"/>
          <w:b/>
          <w:bCs/>
          <w:sz w:val="20"/>
          <w:szCs w:val="20"/>
        </w:rPr>
        <w:t xml:space="preserve">Q7: Abdul Karim-এর pre-SA interest ধরে নিলে কী হয়?</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even assuming for argument's sake that Abdul Karim had some pre-SA interest, that assumption alone does not prove that Abdul Ali's finally published SA entry was wrong, nor does it prove how Sona Bhanu acquired a legally effective present interest in SA 238 (Layer 2 Fallback)।"*</w:t>
      </w:r>
    </w:p>
    <w:p>
      <w:r>
        <w:rPr>
          <w:rFonts w:ascii="Kalpurush" w:cs="Kalpurush" w:eastAsia="Kalpurush" w:hAnsi="Kalpurush"/>
        </w:rPr>
        <w:t xml:space="preserve"/>
      </w:r>
    </w:p>
    <w:p>
      <w:r>
        <w:rPr>
          <w:rFonts w:ascii="Kalpurush" w:cs="Kalpurush" w:eastAsia="Kalpurush" w:hAnsi="Kalpurush"/>
          <w:b/>
          <w:bCs/>
          <w:sz w:val="20"/>
          <w:szCs w:val="20"/>
        </w:rPr>
        <w:t xml:space="preserve">Q8: সরকারি জমি বাদ পড়ায় কি Hotchpot দোষ হইয়াছে?</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একই দাগের সরকারি জমি পৃথক খতিয়ানে। পৃথক খতিয়ানের জমি বা সরকারের জমি ব্যক্তিমালিকানাধীন বাটোয়ারায় আনা বাধ্যতামূলক নহে (27 BLD HD 229)। বাদীদের তফসিলে ৩৪০ শতাংশ + সরকারি ১৩৭ শতাংশ = ৪৭৭ শতাংশ দাগের মোট পরিমাপের সাথে নিখুঁতভাবে মিলে যায়।"*</w:t>
      </w:r>
    </w:p>
    <w:p>
      <w:r>
        <w:rPr>
          <w:rFonts w:ascii="Kalpurush" w:cs="Kalpurush" w:eastAsia="Kalpurush" w:hAnsi="Kalpurush"/>
        </w:rPr>
        <w:t xml:space="preserve"/>
      </w:r>
    </w:p>
    <w:p>
      <w:r>
        <w:rPr>
          <w:rFonts w:ascii="Kalpurush" w:cs="Kalpurush" w:eastAsia="Kalpurush" w:hAnsi="Kalpurush"/>
          <w:b/>
          <w:bCs/>
          <w:sz w:val="20"/>
          <w:szCs w:val="20"/>
        </w:rPr>
        <w:t xml:space="preserve">Q9: সরকারকে পক্ষ না করায় কি মামলা খারিজ হইতে পারে?</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49 DLR (AD) 15 অনুযায়ী সহ-অংশীদারদের মধ্যে ব্যক্তিগত বাটোয়ারা মামলায় সরকার আবশ্যকীয় পক্ষ নহে যেখানে রাষ্ট্রের বিরুদ্ধে কোনো প্রতিকার চাওয়া হয় নাই।"*</w:t>
      </w:r>
    </w:p>
    <w:p>
      <w:r>
        <w:rPr>
          <w:rFonts w:ascii="Kalpurush" w:cs="Kalpurush" w:eastAsia="Kalpurush" w:hAnsi="Kalpurush"/>
        </w:rPr>
        <w:t xml:space="preserve"/>
      </w:r>
    </w:p>
    <w:p>
      <w:r>
        <w:rPr>
          <w:rFonts w:ascii="Kalpurush" w:cs="Kalpurush" w:eastAsia="Kalpurush" w:hAnsi="Kalpurush"/>
          <w:b/>
          <w:bCs/>
          <w:sz w:val="20"/>
          <w:szCs w:val="20"/>
        </w:rPr>
        <w:t xml:space="preserve">Q10: ভিন্ন কালির লেখার তাৎপর্য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ভিন্ন কালিকে আমরা জালিয়াতির চূড়ান্ত প্রমাণ বলিতেছি না। এটি কেবল এমন একটি পরিস্থিতিগত কারণ, যাহা এন্ট্রির উৎস, রচয়িতা এবং আইনগত ভিত্তি প্রমাণের প্রয়োজনীয়তাকে জোরালো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w:t>
            </w:r>
          </w:p>
        </w:tc>
        <w:tc>
          <w:p>
            <w:r>
              <w:rPr>
                <w:rFonts w:ascii="Kalpurush" w:cs="Kalpurush" w:eastAsia="Kalpurush" w:hAnsi="Kalpurush"/>
                <w:sz w:val="20"/>
                <w:szCs w:val="20"/>
              </w:rPr>
              <w:t xml:space="preserve">Appellate Error</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sz w:val="20"/>
                <w:szCs w:val="20"/>
              </w:rPr>
              <w:t xml:space="preserve">Foundation presumed, proved নয় — পাট্টা/কবুলিয়ত বা প্রাথমিক দলিলের অনুপস্থিতি</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sz w:val="20"/>
                <w:szCs w:val="20"/>
              </w:rPr>
              <w:t xml:space="preserve">Section 144A-এর সংবিধিবদ্ধ অনুমান পর্যাপ্ত নির্ভরযোগ্য সাক্ষ্য ব্যতীত খারিজ</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sz w:val="20"/>
                <w:szCs w:val="20"/>
              </w:rPr>
              <w:t xml:space="preserve">Parent order, contents, jurisdiction ও legal effect অপ্রমাণিত</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sz w:val="20"/>
                <w:szCs w:val="20"/>
              </w:rPr>
              <w:t xml:space="preserve">Legal source, provenance ও lawful implementation যাচাই না করিয়াই প্রাধান্য দান</w:t>
            </w:r>
          </w:p>
        </w:tc>
      </w:tr>
      <w:tr>
        <w:tc>
          <w:p>
            <w:r>
              <w:rPr>
                <w:rFonts w:ascii="Kalpurush" w:cs="Kalpurush" w:eastAsia="Kalpurush" w:hAnsi="Kalpurush"/>
                <w:sz w:val="20"/>
                <w:szCs w:val="20"/>
              </w:rPr>
              <w:t xml:space="preserve">৫. ১৯৭৫ দলিলের বৈপরীত্য উপেক্ষিত</w:t>
            </w:r>
          </w:p>
        </w:tc>
        <w:tc>
          <w:p>
            <w:r>
              <w:rPr>
                <w:rFonts w:ascii="Kalpurush" w:cs="Kalpurush" w:eastAsia="Kalpurush" w:hAnsi="Kalpurush"/>
                <w:sz w:val="20"/>
                <w:szCs w:val="20"/>
              </w:rPr>
              <w:t xml:space="preserve">৬-দাগ বনাম কথিত ১-দাগের স্ববিরোধিতার কোনো বিচারিক ব্যাখ্যা রায়ে নাই</w:t>
            </w:r>
          </w:p>
        </w:tc>
      </w:tr>
      <w:tr>
        <w:tc>
          <w:p>
            <w:r>
              <w:rPr>
                <w:rFonts w:ascii="Kalpurush" w:cs="Kalpurush" w:eastAsia="Kalpurush" w:hAnsi="Kalpurush"/>
                <w:sz w:val="20"/>
                <w:szCs w:val="20"/>
              </w:rPr>
              <w:t xml:space="preserve">৬. Hotchpot/Non-joinder-এ খারিজ</w:t>
            </w:r>
          </w:p>
        </w:tc>
        <w:tc>
          <w:p>
            <w:r>
              <w:rPr>
                <w:rFonts w:ascii="Kalpurush" w:cs="Kalpurush" w:eastAsia="Kalpurush" w:hAnsi="Kalpurush"/>
                <w:sz w:val="20"/>
                <w:szCs w:val="20"/>
              </w:rPr>
              <w:t xml:space="preserve">পৃথক খতিয়ান এবং সরকারি জমি বাটোয়ারার বাইরে থাকা সত্ত্বেও technical objection-কে fatal গণ্য</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নিবেদন ও প্রার্থিত প্রতিকার (Closing &amp; Prayer)</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"My Lord, the respondents may have a theory; but a theory is not rebuttal evidence."</w:t>
      </w:r>
      <w:r>
        <w:rPr>
          <w:rFonts w:ascii="Kalpurush" w:cs="Kalpurush" w:eastAsia="Kalpurush" w:hAnsi="Kalpurush"/>
          <w:i/>
          <w:iCs/>
          <w:sz w:val="20"/>
          <w:szCs w:val="20"/>
        </w:rPr>
        <w:t xml:space="preserve">  </w:t>
      </w: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r>
        <w:rPr>
          <w:rFonts w:ascii="Kalpurush" w:cs="Kalpurush" w:eastAsia="Kalpurush" w:hAnsi="Kalpurush"/>
        </w:rPr>
        <w:t xml:space="preserve"/>
      </w:r>
    </w:p>
    <w:p>
      <w:r>
        <w:rPr>
          <w:rFonts w:ascii="Kalpurush" w:cs="Kalpurush" w:eastAsia="Kalpurush" w:hAnsi="Kalpurush"/>
          <w:b/>
          <w:bCs/>
          <w:sz w:val="20"/>
          <w:szCs w:val="20"/>
        </w:rPr>
        <w:t xml:space="preserve">প্রার্থিত প্রতিকার:</w:t>
      </w:r>
    </w:p>
    <w:p>
      <w:pPr>
        <w:pStyle w:val="ListParagraph"/>
        <w:numPr>
          <w:ilvl w:val="0"/>
          <w:numId w:val="1"/>
        </w:numPr>
      </w:pPr>
      <w:r>
        <w:rPr>
          <w:rFonts w:ascii="Kalpurush" w:cs="Kalpurush" w:eastAsia="Kalpurush" w:hAnsi="Kalpurush"/>
          <w:b/>
          <w:bCs/>
          <w:sz w:val="20"/>
          <w:szCs w:val="20"/>
        </w:rPr>
        <w:t xml:space="preserve">(ক)</w:t>
      </w:r>
      <w:r>
        <w:rPr>
          <w:rFonts w:ascii="Kalpurush" w:cs="Kalpurush" w:eastAsia="Kalpurush" w:hAnsi="Kalpurush"/>
          <w:sz w:val="20"/>
          <w:szCs w:val="20"/>
        </w:rPr>
        <w:t xml:space="preserve"> ০৫/০৪/২০২৬ তারিখের রায় ও ০৯/০৪/২০২৬ তারিখের ডিক্রি বাতিল ও রহিত করা হউক;</w:t>
      </w:r>
    </w:p>
    <w:p>
      <w:pPr>
        <w:pStyle w:val="ListParagraph"/>
        <w:numPr>
          <w:ilvl w:val="0"/>
          <w:numId w:val="1"/>
        </w:numPr>
      </w:pPr>
      <w:r>
        <w:rPr>
          <w:rFonts w:ascii="Kalpurush" w:cs="Kalpurush" w:eastAsia="Kalpurush" w:hAnsi="Kalpurush"/>
          <w:b/>
          <w:bCs/>
          <w:sz w:val="20"/>
          <w:szCs w:val="20"/>
        </w:rPr>
        <w:t xml:space="preserve">(খ)</w:t>
      </w:r>
      <w:r>
        <w:rPr>
          <w:rFonts w:ascii="Kalpurush" w:cs="Kalpurush" w:eastAsia="Kalpurush" w:hAnsi="Kalpurush"/>
          <w:sz w:val="20"/>
          <w:szCs w:val="20"/>
        </w:rPr>
        <w:t xml:space="preserve"> বহাল SA ২৩৮ ও ১ নং রেসপন্ডেন্টের সোলেনামার ভিত্তিতে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pPr>
        <w:pStyle w:val="ListParagraph"/>
        <w:numPr>
          <w:ilvl w:val="0"/>
          <w:numId w:val="1"/>
        </w:numPr>
      </w:pPr>
      <w:r>
        <w:rPr>
          <w:rFonts w:ascii="Kalpurush" w:cs="Kalpurush" w:eastAsia="Kalpurush" w:hAnsi="Kalpurush"/>
          <w:b/>
          <w:bCs/>
          <w:sz w:val="20"/>
          <w:szCs w:val="20"/>
        </w:rPr>
        <w:t xml:space="preserve">(গ)</w:t>
      </w:r>
      <w:r>
        <w:rPr>
          <w:rFonts w:ascii="Kalpurush" w:cs="Kalpurush" w:eastAsia="Kalpurush" w:hAnsi="Kalpurush"/>
          <w:sz w:val="20"/>
          <w:szCs w:val="20"/>
        </w:rPr>
        <w:t xml:space="preserve"> সরকারের পৃথক খাস খতিয়ান অক্ষুণ্ণ রাখিয়া কেবল ব্যক্তিগত অংশের বাটোয়ারা করা হউক;</w:t>
      </w:r>
    </w:p>
    <w:p>
      <w:pPr>
        <w:pStyle w:val="ListParagraph"/>
        <w:numPr>
          <w:ilvl w:val="0"/>
          <w:numId w:val="1"/>
        </w:numPr>
      </w:pPr>
      <w:r>
        <w:rPr>
          <w:rFonts w:ascii="Kalpurush" w:cs="Kalpurush" w:eastAsia="Kalpurush" w:hAnsi="Kalpurush"/>
          <w:b/>
          <w:bCs/>
          <w:sz w:val="20"/>
          <w:szCs w:val="20"/>
        </w:rPr>
        <w:t xml:space="preserve">(ঘ) বিকল্পে:</w:t>
      </w:r>
      <w:r>
        <w:rPr>
          <w:rFonts w:ascii="Kalpurush" w:cs="Kalpurush" w:eastAsia="Kalpurush" w:hAnsi="Kalpurush"/>
          <w:sz w:val="20"/>
          <w:szCs w:val="20"/>
        </w:rPr>
        <w:t xml:space="preserve"> CPC Order XLI Rule 23/23A অনুযায়ী মামলাটি বিচারিক আদালতে রিমান্ড (Remand) করা হউক।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শুনানির জন্য “Nine-Step Locked Sequence” (মৌখিক শুনানির মূল ক্রম)</w:t>
      </w:r>
    </w:p>
    <w:p>
      <w:r>
        <w:rPr>
          <w:rFonts w:ascii="Kalpurush" w:cs="Kalpurush" w:eastAsia="Kalpurush" w:hAnsi="Kalpurush"/>
        </w:rPr>
        <w:t xml:space="preserve"/>
      </w:r>
    </w:p>
    <w:p>
      <w:r>
        <w:rPr>
          <w:rFonts w:ascii="Kalpurush" w:cs="Kalpurush" w:eastAsia="Kalpurush" w:hAnsi="Kalpurush"/>
          <w:b/>
          <w:bCs/>
          <w:sz w:val="20"/>
          <w:szCs w:val="20"/>
        </w:rPr>
        <w:t xml:space="preserve">১. SA 238 → Section 144A presumption</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২. Respondents allege later correction</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৩. Where is the parent order?</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৪. What exactly did that order decide?</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৫. What lawful process implemented it?</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৬. Where is the authoritative documentary manifestation of the alleged substantive change?</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৭. Why does the present District Record Room still record Abdul Ali?</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৮. Why does the respondents’ own 1975 deed describe six dags if their theory is one dag?</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৯. Even assuming Abdul Karim had some pre-SA interest, where is the lawful bridge from that interest to Sonabhanu’s present substantive interest? (The Layer 2 Fallback)</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2026-08-15T11:02:19.967Z</dcterms:created>
  <dcterms:modified xsi:type="dcterms:W3CDTF">2026-08-15T11:02:19.967Z</dcterms:modified>
</cp:coreProperties>
</file>

<file path=docProps/custom.xml><?xml version="1.0" encoding="utf-8"?>
<Properties xmlns="http://schemas.openxmlformats.org/officeDocument/2006/custom-properties" xmlns:vt="http://schemas.openxmlformats.org/officeDocument/2006/docPropsVTypes"/>
</file>