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rPr>
        <w:t xml:space="preserve"/>
      </w:r>
    </w:p>
    <w:p>
      <w:r>
        <w:rPr>
          <w:rFonts w:ascii="Kalpurush" w:cs="Kalpurush" w:eastAsia="Kalpurush" w:hAnsi="Kalpurush"/>
          <w:b/>
          <w:bCs/>
          <w:sz w:val="20"/>
          <w:szCs w:val="20"/>
        </w:rPr>
        <w:t xml:space="preserve">হাতেম আলী ও অন্যান্য (আপীল্যান্ট/বাদী)</w:t>
      </w:r>
    </w:p>
    <w:p>
      <w:r>
        <w:rPr>
          <w:rFonts w:ascii="Kalpurush" w:cs="Kalpurush" w:eastAsia="Kalpurush" w:hAnsi="Kalpurush"/>
          <w:sz w:val="20"/>
          <w:szCs w:val="20"/>
        </w:rPr>
        <w:t xml:space="preserve">বনাম</w:t>
      </w:r>
    </w:p>
    <w:p>
      <w:r>
        <w:rPr>
          <w:rFonts w:ascii="Kalpurush" w:cs="Kalpurush" w:eastAsia="Kalpurush" w:hAnsi="Kalpurush"/>
          <w:b/>
          <w:bCs/>
          <w:sz w:val="20"/>
          <w:szCs w:val="20"/>
        </w:rPr>
        <w:t xml:space="preserve">আলহাজ উদ্দিন ও অন্যান্য (রেসপন্ডেন্ট/বিবাদী)</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আপীল্যান্টপক্ষের চূড়ান্ত লিখিত যুক্তিতর্ক</w:t>
      </w:r>
    </w:p>
    <w:p>
      <w:r>
        <w:rPr>
          <w:rFonts w:ascii="Kalpurush" w:cs="Kalpurush" w:eastAsia="Kalpurush" w:hAnsi="Kalpurush"/>
          <w:b/>
          <w:bCs/>
          <w:sz w:val="20"/>
          <w:szCs w:val="20"/>
        </w:rPr>
        <w:t xml:space="preserve">Version 95 — Final Evidentiary Architecture</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A. Central Appellate Proposition (কেন্দ্রীয়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প্রকৃত বিচার্য বিষয় কোনো পক্ষের অসৎ উদ্দেশ্য বা জালিয়াতির প্রমাণ নয়। আপীল্যান্টদের কেন্দ্রীয় বক্তব্য অত্যন্ত সুস্পষ্ট:</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SA 238 constitutes statutory evidence carrying a rebuttable presumption of correctness (Section 144A), and the respondents who seek to displace the recorded position must establish the alleged error and displacement by reliable evidence.</w:t>
      </w:r>
    </w:p>
    <w:p>
      <w:r>
        <w:rPr>
          <w:rFonts w:ascii="Kalpurush" w:cs="Kalpurush" w:eastAsia="Kalpurush" w:hAnsi="Kalpurush"/>
        </w:rPr>
        <w:t xml:space="preserve"/>
      </w:r>
    </w:p>
    <w:p>
      <w:r>
        <w:rPr>
          <w:rFonts w:ascii="Kalpurush" w:cs="Kalpurush" w:eastAsia="Kalpurush" w:hAnsi="Kalpurush"/>
          <w:sz w:val="20"/>
          <w:szCs w:val="20"/>
        </w:rPr>
        <w:t xml:space="preserve">আমরা SA 238-কে conclusive title বা অখণ্ডনীয় বলছি না। আমাদের বক্তব্য হলো, respondents যে particular SA entry-কে displace করতে চাচ্ছে, সেই displacement-এর factual ও legal foundation তারা নির্ভরযোগ্য প্রমাণ দ্বারা প্রতিষ্ঠিত করতে পারেনি।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B. Documentary Chain (দালিলিক ধারাবাহিকতা)</w:t>
      </w:r>
    </w:p>
    <w:p>
      <w:r>
        <w:rPr>
          <w:rFonts w:ascii="Kalpurush" w:cs="Kalpurush" w:eastAsia="Kalpurush" w:hAnsi="Kalpurush"/>
        </w:rPr>
        <w:t xml:space="preserve"/>
      </w:r>
    </w:p>
    <w:p>
      <w:r>
        <w:rPr>
          <w:rFonts w:ascii="Kalpurush" w:cs="Kalpurush" w:eastAsia="Kalpurush" w:hAnsi="Kalpurush"/>
          <w:sz w:val="20"/>
          <w:szCs w:val="20"/>
        </w:rPr>
        <w:t xml:space="preserve">মামলার title history বিচ্ছিন্নভাবে নয়, বরং দালিলিক ধারাবাহিকতায় (corroborative historical sequence) পরীক্ষা করা আবশ্যক:</w:t>
      </w:r>
    </w:p>
    <w:p>
      <w:r>
        <w:rPr>
          <w:rFonts w:ascii="Kalpurush" w:cs="Kalpurush" w:eastAsia="Kalpurush" w:hAnsi="Kalpurush"/>
        </w:rPr>
        <w:t xml:space="preserve"/>
      </w:r>
    </w:p>
    <w:p>
      <w:r>
        <w:rPr>
          <w:rFonts w:ascii="Kalpurush" w:cs="Kalpurush" w:eastAsia="Kalpurush" w:hAnsi="Kalpurush"/>
          <w:b/>
          <w:bCs/>
          <w:sz w:val="20"/>
          <w:szCs w:val="20"/>
        </w:rPr>
        <w:t xml:space="preserve">১. CS রেকর্ড:</w:t>
      </w:r>
      <w:r>
        <w:rPr>
          <w:rFonts w:ascii="Kalpurush" w:cs="Kalpurush" w:eastAsia="Kalpurush" w:hAnsi="Kalpurush"/>
          <w:sz w:val="20"/>
          <w:szCs w:val="20"/>
        </w:rPr>
        <w:t xml:space="preserve"> নালিশী সম্পত্তির পূর্ববর্তী CS ২ নং রেকর্ডে জমি ব্যক্তিগত রায়তি নামে রেকর্ডভুক্ত ছিল না; বরং নবাব এস্টেটের খাস হিসেবে প্রতিফলিত ছিল। </w:t>
      </w:r>
    </w:p>
    <w:p>
      <w:r>
        <w:rPr>
          <w:rFonts w:ascii="Kalpurush" w:cs="Kalpurush" w:eastAsia="Kalpurush" w:hAnsi="Kalpurush"/>
        </w:rPr>
        <w:t xml:space="preserve"/>
      </w:r>
    </w:p>
    <w:p>
      <w:r>
        <w:rPr>
          <w:rFonts w:ascii="Kalpurush" w:cs="Kalpurush" w:eastAsia="Kalpurush" w:hAnsi="Kalpurush"/>
          <w:b/>
          <w:bCs/>
          <w:sz w:val="20"/>
          <w:szCs w:val="20"/>
        </w:rPr>
        <w:t xml:space="preserve">২. Alleged ১৯৩৪ Tenancy:</w:t>
      </w:r>
      <w:r>
        <w:rPr>
          <w:rFonts w:ascii="Kalpurush" w:cs="Kalpurush" w:eastAsia="Kalpurush" w:hAnsi="Kalpurush"/>
          <w:sz w:val="20"/>
          <w:szCs w:val="20"/>
        </w:rPr>
        <w:t xml:space="preserve"> Respondents rely upon Abdul Karim's alleged raiyati interest as the root of their present claim; therefore they must identify reliable evidence establishing that particular interest in the disputed holding. আইন অনুযায়ী পত্তন সর্বদা রেজিস্ট্রিকৃত পাট্টা দ্বারাই হইতে হইবে—এমন দাবি আমরা করিতেছি না, কিন্তু title theory-এর root fact respondents-কেই নির্ভরযোগ্য evidence দ্বারা প্রতিষ্ঠিত করিতে হইবে। </w:t>
      </w:r>
    </w:p>
    <w:p>
      <w:r>
        <w:rPr>
          <w:rFonts w:ascii="Kalpurush" w:cs="Kalpurush" w:eastAsia="Kalpurush" w:hAnsi="Kalpurush"/>
        </w:rPr>
        <w:t xml:space="preserve"/>
      </w:r>
    </w:p>
    <w:p>
      <w:r>
        <w:rPr>
          <w:rFonts w:ascii="Kalpurush" w:cs="Kalpurush" w:eastAsia="Kalpurush" w:hAnsi="Kalpurush"/>
          <w:b/>
          <w:bCs/>
          <w:sz w:val="20"/>
          <w:szCs w:val="20"/>
        </w:rPr>
        <w:t xml:space="preserve">৩. State Acquisition ও SA ২৩৮:</w:t>
      </w:r>
      <w:r>
        <w:rPr>
          <w:rFonts w:ascii="Kalpurush" w:cs="Kalpurush" w:eastAsia="Kalpurush" w:hAnsi="Kalpurush"/>
          <w:sz w:val="20"/>
          <w:szCs w:val="20"/>
        </w:rPr>
        <w:t xml:space="preserve"> CS রেকর্ডে ব্যক্তিগত রায়ত না থাকা এবং তৎপরবর্তীতে State Acquisition পর্যায়ে SA 238-এ আব্দুল আলীর নাম একক ১৬ আনা রায়ত হিসেবে চূড়ান্তভাবে রেকর্ডভুক্ত হওয়া একটি গুরুত্বপূর্ণ documentary circumstance।</w:t>
      </w:r>
    </w:p>
    <w:p>
      <w:r>
        <w:rPr>
          <w:rFonts w:ascii="Kalpurush" w:cs="Kalpurush" w:eastAsia="Kalpurush" w:hAnsi="Kalpurush"/>
        </w:rPr>
        <w:t xml:space="preserve"/>
      </w:r>
    </w:p>
    <w:p>
      <w:r>
        <w:rPr>
          <w:rFonts w:ascii="Kalpurush" w:cs="Kalpurush" w:eastAsia="Kalpurush" w:hAnsi="Kalpurush"/>
          <w:b/>
          <w:bCs/>
          <w:sz w:val="20"/>
          <w:szCs w:val="20"/>
        </w:rPr>
        <w:t xml:space="preserve">৪. ১৯৫৭ সালের দলিল (নং ২৩৯৮):</w:t>
      </w:r>
      <w:r>
        <w:rPr>
          <w:rFonts w:ascii="Kalpurush" w:cs="Kalpurush" w:eastAsia="Kalpurush" w:hAnsi="Kalpurush"/>
          <w:sz w:val="20"/>
          <w:szCs w:val="20"/>
        </w:rPr>
        <w:t xml:space="preserve"> এটি একা SA record-এর title সৃষ্টি করে—এমন দাবি আমরা করছি না। তবে SA record-এ আব্দুল আলীর নাম এবং পরবর্তী contemporaneous registered transaction-এ তাঁর recorded identity একই direction-এ যায়।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C. Respondents' Displacement Theory (প্রতিপক্ষের স্বত্বচ্যুতি তত্ত্ব)</w:t>
      </w:r>
    </w:p>
    <w:p>
      <w:r>
        <w:rPr>
          <w:rFonts w:ascii="Kalpurush" w:cs="Kalpurush" w:eastAsia="Kalpurush" w:hAnsi="Kalpurush"/>
        </w:rPr>
        <w:t xml:space="preserve"/>
      </w:r>
    </w:p>
    <w:p>
      <w:r>
        <w:rPr>
          <w:rFonts w:ascii="Kalpurush" w:cs="Kalpurush" w:eastAsia="Kalpurush" w:hAnsi="Kalpurush"/>
          <w:sz w:val="20"/>
          <w:szCs w:val="20"/>
        </w:rPr>
        <w:t xml:space="preserve">বিবাদীপক্ষের case-এর ভিত্তি হলো একটি displacement theory: SA 238 → alleged correction → Misc Case 1181 → parent order missing → correction source unproved।</w:t>
      </w:r>
    </w:p>
    <w:p>
      <w:r>
        <w:rPr>
          <w:rFonts w:ascii="Kalpurush" w:cs="Kalpurush" w:eastAsia="Kalpurush" w:hAnsi="Kalpurush"/>
        </w:rPr>
        <w:t xml:space="preserve"/>
      </w:r>
    </w:p>
    <w:p>
      <w:r>
        <w:rPr>
          <w:rFonts w:ascii="Kalpurush" w:cs="Kalpurush" w:eastAsia="Kalpurush" w:hAnsi="Kalpurush"/>
          <w:b/>
          <w:bCs/>
          <w:sz w:val="20"/>
          <w:szCs w:val="20"/>
        </w:rPr>
        <w:t xml:space="preserve">৫. ১৯৬৯ সালের Misc Case 1181 (The Missing Parent Order):</w:t>
      </w:r>
      <w:r>
        <w:rPr>
          <w:rFonts w:ascii="Kalpurush" w:cs="Kalpurush" w:eastAsia="Kalpurush" w:hAnsi="Kalpurush"/>
          <w:sz w:val="20"/>
          <w:szCs w:val="20"/>
        </w:rPr>
        <w:t xml:space="preserve"> </w:t>
      </w:r>
    </w:p>
    <w:p>
      <w:r>
        <w:rPr>
          <w:rFonts w:ascii="Kalpurush" w:cs="Kalpurush" w:eastAsia="Kalpurush" w:hAnsi="Kalpurush"/>
          <w:sz w:val="20"/>
          <w:szCs w:val="20"/>
        </w:rPr>
        <w:t xml:space="preserve">Respondents rely upon the alleged proceeding as the juridical source of a substantive change; therefore the Court should be able to identify and evaluate the proceeding, its terms, competence and legal effect. Parent order বা proceeding-এর primary record অনুপস্থিত থাকিলে, Evidence Act-এর Section 114(g) অনুযায়ী withheld important evidence may justify an adverse inference, depending upon the entire evidentiary context. </w:t>
      </w:r>
    </w:p>
    <w:p>
      <w:r>
        <w:rPr>
          <w:rFonts w:ascii="Kalpurush" w:cs="Kalpurush" w:eastAsia="Kalpurush" w:hAnsi="Kalpurush"/>
        </w:rPr>
        <w:t xml:space="preserve"/>
      </w:r>
    </w:p>
    <w:p>
      <w:r>
        <w:rPr>
          <w:rFonts w:ascii="Kalpurush" w:cs="Kalpurush" w:eastAsia="Kalpurush" w:hAnsi="Kalpurush"/>
          <w:b/>
          <w:bCs/>
          <w:sz w:val="20"/>
          <w:szCs w:val="20"/>
        </w:rPr>
        <w:t xml:space="preserve">৬. Substantive vs Clerical Correction:</w:t>
      </w:r>
      <w:r>
        <w:rPr>
          <w:rFonts w:ascii="Kalpurush" w:cs="Kalpurush" w:eastAsia="Kalpurush" w:hAnsi="Kalpurush"/>
          <w:sz w:val="20"/>
          <w:szCs w:val="20"/>
        </w:rPr>
        <w:t xml:space="preserve"> </w:t>
      </w:r>
    </w:p>
    <w:p>
      <w:r>
        <w:rPr>
          <w:rFonts w:ascii="Kalpurush" w:cs="Kalpurush" w:eastAsia="Kalpurush" w:hAnsi="Kalpurush"/>
          <w:sz w:val="20"/>
          <w:szCs w:val="20"/>
        </w:rPr>
        <w:t xml:space="preserve">The respondents cannot characterize a correction as “clerical” merely by describing it as such; the Court must examine the actual legal effect of the alleged alteration upon the recorded interest. একজন recorded raiyat-এর পরিবর্তে/সঙ্গে অন্য ব্যক্তিকে tenancy interest-এর অংশীদার হিসেবে যুক্ত করা নিছক clerical correction নয়; এটি substantive interest-এর প্রশ্ন।</w:t>
      </w:r>
    </w:p>
    <w:p>
      <w:r>
        <w:rPr>
          <w:rFonts w:ascii="Kalpurush" w:cs="Kalpurush" w:eastAsia="Kalpurush" w:hAnsi="Kalpurush"/>
        </w:rPr>
        <w:t xml:space="preserve"/>
      </w:r>
    </w:p>
    <w:p>
      <w:r>
        <w:rPr>
          <w:rFonts w:ascii="Kalpurush" w:cs="Kalpurush" w:eastAsia="Kalpurush" w:hAnsi="Kalpurush"/>
          <w:b/>
          <w:bCs/>
          <w:sz w:val="20"/>
          <w:szCs w:val="20"/>
        </w:rPr>
        <w:t xml:space="preserve">৭. AC Land Volume বনাম District Record Room:</w:t>
      </w:r>
      <w:r>
        <w:rPr>
          <w:rFonts w:ascii="Kalpurush" w:cs="Kalpurush" w:eastAsia="Kalpurush" w:hAnsi="Kalpurush"/>
          <w:sz w:val="20"/>
          <w:szCs w:val="20"/>
        </w:rPr>
        <w:t xml:space="preserve"> </w:t>
      </w:r>
    </w:p>
    <w:p>
      <w:r>
        <w:rPr>
          <w:rFonts w:ascii="Kalpurush" w:cs="Kalpurush" w:eastAsia="Kalpurush" w:hAnsi="Kalpurush"/>
          <w:sz w:val="20"/>
          <w:szCs w:val="20"/>
        </w:rPr>
        <w:t xml:space="preserve">The evidentiary weight of the two records must be assessed by examining their provenance, statutory status, custody, source and the documentary process by which the disputed entry was made.</w:t>
      </w:r>
    </w:p>
    <w:p>
      <w:r>
        <w:rPr>
          <w:rFonts w:ascii="Kalpurush" w:cs="Kalpurush" w:eastAsia="Kalpurush" w:hAnsi="Kalpurush"/>
        </w:rPr>
        <w:t xml:space="preserve"/>
      </w:r>
    </w:p>
    <w:p>
      <w:r>
        <w:rPr>
          <w:rFonts w:ascii="Kalpurush" w:cs="Kalpurush" w:eastAsia="Kalpurush" w:hAnsi="Kalpurush"/>
          <w:b/>
          <w:bCs/>
          <w:sz w:val="20"/>
          <w:szCs w:val="20"/>
        </w:rPr>
        <w:t xml:space="preserve">৮. DW-4 (মোঃ আজম খান)-এর জেরায় Admitted Facts:</w:t>
      </w:r>
      <w:r>
        <w:rPr>
          <w:rFonts w:ascii="Kalpurush" w:cs="Kalpurush" w:eastAsia="Kalpurush" w:hAnsi="Kalpurush"/>
          <w:sz w:val="20"/>
          <w:szCs w:val="20"/>
        </w:rPr>
        <w:t xml:space="preserve"> </w:t>
      </w:r>
    </w:p>
    <w:p>
      <w:r>
        <w:rPr>
          <w:rFonts w:ascii="Kalpurush" w:cs="Kalpurush" w:eastAsia="Kalpurush" w:hAnsi="Kalpurush"/>
          <w:sz w:val="20"/>
          <w:szCs w:val="20"/>
        </w:rPr>
        <w:t xml:space="preserve">DW-4-এর সাক্ষ্য entry-এর provenance সম্পর্কে গুরুত্বপূর্ণ admission প্রদান করে:</w:t>
      </w:r>
    </w:p>
    <w:p>
      <w:pPr>
        <w:pStyle w:val="ListParagraph"/>
        <w:numPr>
          <w:ilvl w:val="0"/>
          <w:numId w:val="1"/>
        </w:numPr>
      </w:pPr>
      <w:r>
        <w:rPr>
          <w:rFonts w:ascii="Kalpurush" w:cs="Kalpurush" w:eastAsia="Kalpurush" w:hAnsi="Kalpurush"/>
          <w:sz w:val="20"/>
          <w:szCs w:val="20"/>
        </w:rPr>
        <w:t xml:space="preserve">  "ভলিউমে মন্তব্য কলামে মিসকেস নাম্বার কত লিখা তা বুঝা যায় না।"</w:t>
      </w:r>
    </w:p>
    <w:p>
      <w:pPr>
        <w:pStyle w:val="ListParagraph"/>
        <w:numPr>
          <w:ilvl w:val="0"/>
          <w:numId w:val="1"/>
        </w:numPr>
      </w:pPr>
      <w:r>
        <w:rPr>
          <w:rFonts w:ascii="Kalpurush" w:cs="Kalpurush" w:eastAsia="Kalpurush" w:hAnsi="Kalpurush"/>
          <w:sz w:val="20"/>
          <w:szCs w:val="20"/>
        </w:rPr>
        <w:t xml:space="preserve">  "কে বা কত তারিখ তা লিখা হয়েছে বলতে পারব না।"</w:t>
      </w:r>
    </w:p>
    <w:p>
      <w:pPr>
        <w:pStyle w:val="ListParagraph"/>
        <w:numPr>
          <w:ilvl w:val="0"/>
          <w:numId w:val="1"/>
        </w:numPr>
      </w:pPr>
      <w:r>
        <w:rPr>
          <w:rFonts w:ascii="Kalpurush" w:cs="Kalpurush" w:eastAsia="Kalpurush" w:hAnsi="Kalpurush"/>
          <w:sz w:val="20"/>
          <w:szCs w:val="20"/>
        </w:rPr>
        <w:t xml:space="preserve">  "সোনা ভানুর নাম ভিন্ন কালিতে কেন লিখা বলতে পারব না।"</w:t>
      </w:r>
    </w:p>
    <w:p>
      <w:r>
        <w:rPr>
          <w:rFonts w:ascii="Kalpurush" w:cs="Kalpurush" w:eastAsia="Kalpurush" w:hAnsi="Kalpurush"/>
        </w:rPr>
        <w:t xml:space="preserve"/>
      </w:r>
    </w:p>
    <w:p>
      <w:r>
        <w:rPr>
          <w:rFonts w:ascii="Kalpurush" w:cs="Kalpurush" w:eastAsia="Kalpurush" w:hAnsi="Kalpurush"/>
          <w:b/>
          <w:bCs/>
          <w:sz w:val="20"/>
          <w:szCs w:val="20"/>
        </w:rPr>
        <w:t xml:space="preserve">What this establishes:</w:t>
      </w:r>
      <w:r>
        <w:rPr>
          <w:rFonts w:ascii="Kalpurush" w:cs="Kalpurush" w:eastAsia="Kalpurush" w:hAnsi="Kalpurush"/>
          <w:sz w:val="20"/>
          <w:szCs w:val="20"/>
        </w:rPr>
        <w:t xml:space="preserve"> (1) Entry-এর provenance unexplained; (2) author unidentified; (3) date unidentified; (4) parent proceeding not connected; (5) alteration-এর evidentiary foundation দুর্বল।</w:t>
      </w:r>
    </w:p>
    <w:p>
      <w:r>
        <w:rPr>
          <w:rFonts w:ascii="Kalpurush" w:cs="Kalpurush" w:eastAsia="Kalpurush" w:hAnsi="Kalpurush"/>
        </w:rPr>
        <w:t xml:space="preserve"/>
      </w:r>
    </w:p>
    <w:p>
      <w:r>
        <w:rPr>
          <w:rFonts w:ascii="Kalpurush" w:cs="Kalpurush" w:eastAsia="Kalpurush" w:hAnsi="Kalpurush"/>
          <w:b/>
          <w:bCs/>
          <w:sz w:val="20"/>
          <w:szCs w:val="20"/>
        </w:rPr>
        <w:t xml:space="preserve">৯. Jurisdiction Argument (Alternative):</w:t>
      </w:r>
      <w:r>
        <w:rPr>
          <w:rFonts w:ascii="Kalpurush" w:cs="Kalpurush" w:eastAsia="Kalpurush" w:hAnsi="Kalpurush"/>
          <w:sz w:val="20"/>
          <w:szCs w:val="20"/>
        </w:rPr>
        <w:t xml:space="preserve"> </w:t>
      </w:r>
    </w:p>
    <w:p>
      <w:r>
        <w:rPr>
          <w:rFonts w:ascii="Kalpurush" w:cs="Kalpurush" w:eastAsia="Kalpurush" w:hAnsi="Kalpurush"/>
          <w:sz w:val="20"/>
          <w:szCs w:val="20"/>
        </w:rPr>
        <w:t xml:space="preserve">Even assuming the proceeding was competent for correction of record, the respondents must still prove the proceeding, the order passed therein, the authority exercised, the affected holding, and the legal effect of that order.</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D. Internal Contradiction (দালিলিক অসামঞ্জস্য)</w:t>
      </w:r>
    </w:p>
    <w:p>
      <w:r>
        <w:rPr>
          <w:rFonts w:ascii="Kalpurush" w:cs="Kalpurush" w:eastAsia="Kalpurush" w:hAnsi="Kalpurush"/>
        </w:rPr>
        <w:t xml:space="preserve"/>
      </w:r>
    </w:p>
    <w:p>
      <w:r>
        <w:rPr>
          <w:rFonts w:ascii="Kalpurush" w:cs="Kalpurush" w:eastAsia="Kalpurush" w:hAnsi="Kalpurush"/>
          <w:b/>
          <w:bCs/>
          <w:sz w:val="20"/>
          <w:szCs w:val="20"/>
        </w:rPr>
        <w:t xml:space="preserve">১০. ১৯৭৫ সালের ৩৫৯৬ নং দলিল (Material Inconsistency):</w:t>
      </w:r>
      <w:r>
        <w:rPr>
          <w:rFonts w:ascii="Kalpurush" w:cs="Kalpurush" w:eastAsia="Kalpurush" w:hAnsi="Kalpurush"/>
          <w:sz w:val="20"/>
          <w:szCs w:val="20"/>
        </w:rPr>
        <w:t xml:space="preserve"> </w:t>
      </w:r>
    </w:p>
    <w:p>
      <w:r>
        <w:rPr>
          <w:rFonts w:ascii="Kalpurush" w:cs="Kalpurush" w:eastAsia="Kalpurush" w:hAnsi="Kalpurush"/>
          <w:sz w:val="20"/>
          <w:szCs w:val="20"/>
        </w:rPr>
        <w:t xml:space="preserve">Respondents-এর present case যদি হয় যে alleged 1969 correction-এর ফলে SA 238 কার্যত এক দাগে (১২৫৯) সীমাবদ্ধ হয়েছিল, তাহলে তাঁদের নিজেদের 1975 সালের registered deed-এ (Exhibit Kha-2) একই khatian-এর অধীনে ছয়টি দাগের (১২৫৯, ৭৫, ৩, ৫৪, ১২৫২ এবং ১২২০) বর্ণনা কেন? এই document-টি estoppel স্বয়ংক্রিয়ভাবে প্রমাণ না করলেও, it is a material documentary inconsistency requiring explanation. Respondents' own documents cannot be selectively relied upon.</w:t>
      </w:r>
    </w:p>
    <w:p>
      <w:r>
        <w:rPr>
          <w:rFonts w:ascii="Kalpurush" w:cs="Kalpurush" w:eastAsia="Kalpurush" w:hAnsi="Kalpurush"/>
        </w:rPr>
        <w:t xml:space="preserve"/>
      </w:r>
    </w:p>
    <w:p>
      <w:r>
        <w:rPr>
          <w:rFonts w:ascii="Kalpurush" w:cs="Kalpurush" w:eastAsia="Kalpurush" w:hAnsi="Kalpurush"/>
          <w:b/>
          <w:bCs/>
          <w:sz w:val="20"/>
          <w:szCs w:val="20"/>
        </w:rPr>
        <w:t xml:space="preserve">১১. Comparative Documentary Test এবং Sonabhanu-এর উত্তরাধিকার:</w:t>
      </w:r>
    </w:p>
    <w:p>
      <w:r>
        <w:rPr>
          <w:rFonts w:ascii="Kalpurush" w:cs="Kalpurush" w:eastAsia="Kalpurush" w:hAnsi="Kalpurush"/>
          <w:sz w:val="20"/>
          <w:szCs w:val="20"/>
        </w:rPr>
        <w:t xml:space="preserve">The question is not whether Sonabhanu was an heir of Abdul Karim. The question is whether this particular SA 238 holding was Abdul Karim’s holding. সোনাভানু অন্য খতিয়ানে আব্দুল করিমের সম্পত্তি উত্তরাধিকারসূত্রে পেয়ে থাকলেও, SA 238-এ Abdul Ali-র একক record-এর বিরুদ্ধে তাঁকে আনয়নের documentary bridge কোথায়? Genealogy alone cannot substitute for identification of the disputed holding. অধিকন্তু, succession event-এর ফলে অন্যান্য উত্তরাধিকারী বিদ্যমান থাকা সত্ত্বেও কেন কেবল সোনাভানুর নাম প্রতিফলিত হলো, তাহা correction theory-এর logical consistency-কে প্রশ্নবিদ্ধ করে।</w:t>
      </w:r>
    </w:p>
    <w:p>
      <w:r>
        <w:rPr>
          <w:rFonts w:ascii="Kalpurush" w:cs="Kalpurush" w:eastAsia="Kalpurush" w:hAnsi="Kalpurush"/>
        </w:rPr>
        <w:t xml:space="preserve"/>
      </w:r>
    </w:p>
    <w:p>
      <w:r>
        <w:rPr>
          <w:rFonts w:ascii="Kalpurush" w:cs="Kalpurush" w:eastAsia="Kalpurush" w:hAnsi="Kalpurush"/>
          <w:b/>
          <w:bCs/>
          <w:sz w:val="20"/>
          <w:szCs w:val="20"/>
        </w:rPr>
        <w:t xml:space="preserve">১২. বেলুয়ার প্রসঙ্গ (Corroborative Contradiction):</w:t>
      </w:r>
    </w:p>
    <w:p>
      <w:r>
        <w:rPr>
          <w:rFonts w:ascii="Kalpurush" w:cs="Kalpurush" w:eastAsia="Kalpurush" w:hAnsi="Kalpurush"/>
          <w:sz w:val="20"/>
          <w:szCs w:val="20"/>
        </w:rPr>
        <w:t xml:space="preserve">বিবাদীপক্ষ যে বেলুয়ার কাছ থেকে দলিল গ্রহণ করেছে, সেই বেলুয়ার documentary status এবং alleged correction record-এ তাঁর অবস্থানের অসামঞ্জস্য বিবাদীপক্ষের title theory-র সঙ্গে একটি corroborative contradiction সৃষ্টি 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E. Partition-Specific Issues (বাটোয়ারা সংক্রান্ত বিষয়)</w:t>
      </w:r>
    </w:p>
    <w:p>
      <w:r>
        <w:rPr>
          <w:rFonts w:ascii="Kalpurush" w:cs="Kalpurush" w:eastAsia="Kalpurush" w:hAnsi="Kalpurush"/>
        </w:rPr>
        <w:t xml:space="preserve"/>
      </w:r>
    </w:p>
    <w:p>
      <w:r>
        <w:rPr>
          <w:rFonts w:ascii="Kalpurush" w:cs="Kalpurush" w:eastAsia="Kalpurush" w:hAnsi="Kalpurush"/>
          <w:b/>
          <w:bCs/>
          <w:sz w:val="20"/>
          <w:szCs w:val="20"/>
        </w:rPr>
        <w:t xml:space="preserve">১৩. Hotchpot-এর যুক্তি:</w:t>
      </w:r>
    </w:p>
    <w:p>
      <w:r>
        <w:rPr>
          <w:rFonts w:ascii="Kalpurush" w:cs="Kalpurush" w:eastAsia="Kalpurush" w:hAnsi="Kalpurush"/>
          <w:sz w:val="20"/>
          <w:szCs w:val="20"/>
        </w:rPr>
        <w:t xml:space="preserve">Trial Court hotchpot defect-এর কারণে suit dismiss করিয়াছেন। That reasoning overlooks the fact that: Government's non-joinder cannot be treated as fatal merely from the existence of Government land within the same dag; the decisive question is whether the Government's proprietary interest is itself the subject of adjudication or relief in the suit. (49 DLR (AD) 15-এর নীতির আলোকে)। যেহেতু Plaintiffs Government অংশের উপর কোনো relief দাবি করেন নাই, সেহেতু hotchpot defect সৃষ্টি হয় না।</w:t>
      </w:r>
    </w:p>
    <w:p>
      <w:r>
        <w:rPr>
          <w:rFonts w:ascii="Kalpurush" w:cs="Kalpurush" w:eastAsia="Kalpurush" w:hAnsi="Kalpurush"/>
        </w:rPr>
        <w:t xml:space="preserve"/>
      </w:r>
    </w:p>
    <w:p>
      <w:r>
        <w:rPr>
          <w:rFonts w:ascii="Kalpurush" w:cs="Kalpurush" w:eastAsia="Kalpurush" w:hAnsi="Kalpurush"/>
          <w:b/>
          <w:bCs/>
          <w:sz w:val="20"/>
          <w:szCs w:val="20"/>
        </w:rPr>
        <w:t xml:space="preserve">১৪. ১নং বিবাদীর Solenama:</w:t>
      </w:r>
    </w:p>
    <w:p>
      <w:r>
        <w:rPr>
          <w:rFonts w:ascii="Kalpurush" w:cs="Kalpurush" w:eastAsia="Kalpurush" w:hAnsi="Kalpurush"/>
          <w:sz w:val="20"/>
          <w:szCs w:val="20"/>
        </w:rPr>
        <w:t xml:space="preserve">১নং বিবাদী (আব্দুল আলীর পুত্র) যদি partition proceeding-এ অংশগ্রহণ ও সমঝোতায় সম্মতি দিয়ে থাকেন, তবে সেই conduct relevant to the overall evidentiary assessment।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F. Respondents' Conduct (প্রতিপক্ষের আচরণ ও উদ্দেশ্য)</w:t>
      </w:r>
    </w:p>
    <w:p>
      <w:r>
        <w:rPr>
          <w:rFonts w:ascii="Kalpurush" w:cs="Kalpurush" w:eastAsia="Kalpurush" w:hAnsi="Kalpurush"/>
        </w:rPr>
        <w:t xml:space="preserve"/>
      </w:r>
    </w:p>
    <w:p>
      <w:r>
        <w:rPr>
          <w:rFonts w:ascii="Kalpurush" w:cs="Kalpurush" w:eastAsia="Kalpurush" w:hAnsi="Kalpurush"/>
          <w:b/>
          <w:bCs/>
          <w:sz w:val="20"/>
          <w:szCs w:val="20"/>
        </w:rPr>
        <w:t xml:space="preserve">১৫. Affirmative Title Claim নাকি Partition Obstruction?</w:t>
      </w:r>
    </w:p>
    <w:p>
      <w:r>
        <w:rPr>
          <w:rFonts w:ascii="Kalpurush" w:cs="Kalpurush" w:eastAsia="Kalpurush" w:hAnsi="Kalpurush"/>
          <w:sz w:val="20"/>
          <w:szCs w:val="20"/>
        </w:rPr>
        <w:t xml:space="preserve">আপীল্যান্টগণ প্রতিপক্ষের উপর সরাসরি fraud-এর কোনো অভিযোগ আরোপ করিতেছেন না। তবে, বাটোয়ারা মামলায় respondents নিজেদের কোনো নির্দিষ্ট saham বা allotment প্রতিষ্ঠার জন্য substantive relief চাননি। </w:t>
      </w:r>
    </w:p>
    <w:p>
      <w:pPr>
        <w:ind w:left="720"/>
      </w:pPr>
      <w:r>
        <w:rPr>
          <w:rFonts w:ascii="Kalpurush" w:cs="Kalpurush" w:eastAsia="Kalpurush" w:hAnsi="Kalpurush"/>
          <w:i/>
          <w:iCs/>
          <w:sz w:val="20"/>
          <w:szCs w:val="20"/>
        </w:rPr>
        <w:t xml:space="preserve">এই conduct-এর cumulative effect এমন একটি legitimate inference-এর জন্ম দেয় যে contest-টি affirmative share প্রতিষ্ঠার চেয়ে partition proceeding-এর maintainability/continuation প্রতিহত করার দিকেই অধিকতর কেন্দ্রীভূত 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G. Trial Court-এর Framed Issues এবং Appellate Errors (ইস্যুভিত্তিক খণ্ডন)</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Kalpurush" w:cs="Kalpurush" w:eastAsia="Kalpurush" w:hAnsi="Kalpurush"/>
                <w:sz w:val="20"/>
                <w:szCs w:val="20"/>
              </w:rPr>
              <w:t xml:space="preserve">Trial Court Issue</w:t>
            </w:r>
          </w:p>
        </w:tc>
        <w:tc>
          <w:p>
            <w:r>
              <w:rPr>
                <w:rFonts w:ascii="Kalpurush" w:cs="Kalpurush" w:eastAsia="Kalpurush" w:hAnsi="Kalpurush"/>
                <w:sz w:val="20"/>
                <w:szCs w:val="20"/>
              </w:rPr>
              <w:t xml:space="preserve">Trial Court Finding</w:t>
            </w:r>
          </w:p>
        </w:tc>
        <w:tc>
          <w:p>
            <w:r>
              <w:rPr>
                <w:rFonts w:ascii="Kalpurush" w:cs="Kalpurush" w:eastAsia="Kalpurush" w:hAnsi="Kalpurush"/>
                <w:sz w:val="20"/>
                <w:szCs w:val="20"/>
              </w:rPr>
              <w:t xml:space="preserve">Appellate Error (কেন ভুল)</w:t>
            </w:r>
          </w:p>
        </w:tc>
        <w:tc>
          <w:p>
            <w:r>
              <w:rPr>
                <w:rFonts w:ascii="Kalpurush" w:cs="Kalpurush" w:eastAsia="Kalpurush" w:hAnsi="Kalpurush"/>
                <w:sz w:val="20"/>
                <w:szCs w:val="20"/>
              </w:rPr>
              <w:t xml:space="preserve">Relevant Evidence</w:t>
            </w:r>
          </w:p>
        </w:tc>
      </w:tr>
      <w:tr>
        <w:tc>
          <w:p>
            <w:r>
              <w:rPr>
                <w:rFonts w:ascii="Kalpurush" w:cs="Kalpurush" w:eastAsia="Kalpurush" w:hAnsi="Kalpurush"/>
                <w:b/>
                <w:bCs/>
                <w:sz w:val="20"/>
                <w:szCs w:val="20"/>
              </w:rPr>
              <w:t xml:space="preserve">Issue-1 &amp; 2 (Cause of Action / Maintainability)</w:t>
            </w:r>
          </w:p>
        </w:tc>
        <w:tc>
          <w:p>
            <w:r>
              <w:rPr>
                <w:rFonts w:ascii="Kalpurush" w:cs="Kalpurush" w:eastAsia="Kalpurush" w:hAnsi="Kalpurush"/>
                <w:sz w:val="20"/>
                <w:szCs w:val="20"/>
              </w:rPr>
              <w:t xml:space="preserve">বাটোয়ারা মামলা চলে না।</w:t>
            </w:r>
          </w:p>
        </w:tc>
        <w:tc>
          <w:p>
            <w:r>
              <w:rPr>
                <w:rFonts w:ascii="Kalpurush" w:cs="Kalpurush" w:eastAsia="Kalpurush" w:hAnsi="Kalpurush"/>
                <w:sz w:val="20"/>
                <w:szCs w:val="20"/>
              </w:rPr>
              <w:t xml:space="preserve">Burden of proof ভুলভাবে বাদীপক্ষের উপর ন্যস্ত করা হয়েছে। Plaintiff-এর record-based title-কে disprove করার দায় বিবাদীর।</w:t>
            </w:r>
          </w:p>
        </w:tc>
        <w:tc>
          <w:p>
            <w:r>
              <w:rPr>
                <w:rFonts w:ascii="Kalpurush" w:cs="Kalpurush" w:eastAsia="Kalpurush" w:hAnsi="Kalpurush"/>
                <w:sz w:val="20"/>
                <w:szCs w:val="20"/>
              </w:rPr>
              <w:t xml:space="preserve">Section 144A presumption; 56 DLR (AD) 53</w:t>
            </w:r>
          </w:p>
        </w:tc>
      </w:tr>
      <w:tr>
        <w:tc>
          <w:p>
            <w:r>
              <w:rPr>
                <w:rFonts w:ascii="Kalpurush" w:cs="Kalpurush" w:eastAsia="Kalpurush" w:hAnsi="Kalpurush"/>
                <w:b/>
                <w:bCs/>
                <w:sz w:val="20"/>
                <w:szCs w:val="20"/>
              </w:rPr>
              <w:t xml:space="preserve">Issue-4 (Title &amp; Possession)</w:t>
            </w:r>
          </w:p>
        </w:tc>
        <w:tc>
          <w:p>
            <w:r>
              <w:rPr>
                <w:rFonts w:ascii="Kalpurush" w:cs="Kalpurush" w:eastAsia="Kalpurush" w:hAnsi="Kalpurush"/>
                <w:sz w:val="20"/>
                <w:szCs w:val="20"/>
              </w:rPr>
              <w:t xml:space="preserve">বিবাদীর alleged correction এবং inheritance-কে সত্য মানা হয়েছে।</w:t>
            </w:r>
          </w:p>
        </w:tc>
        <w:tc>
          <w:p>
            <w:r>
              <w:rPr>
                <w:rFonts w:ascii="Kalpurush" w:cs="Kalpurush" w:eastAsia="Kalpurush" w:hAnsi="Kalpurush"/>
                <w:sz w:val="20"/>
                <w:szCs w:val="20"/>
              </w:rPr>
              <w:t xml:space="preserve">Missing parent order (Misc Case 1181) এবং 1975 deed-এর contradiction উপেক্ষা করা হয়েছে। Foundation unproved.</w:t>
            </w:r>
          </w:p>
        </w:tc>
        <w:tc>
          <w:p>
            <w:r>
              <w:rPr>
                <w:rFonts w:ascii="Kalpurush" w:cs="Kalpurush" w:eastAsia="Kalpurush" w:hAnsi="Kalpurush"/>
                <w:sz w:val="20"/>
                <w:szCs w:val="20"/>
              </w:rPr>
              <w:t xml:space="preserve">AC volume (unproven provenance); 1975 Deed (Ex-Kha-2)</w:t>
            </w:r>
          </w:p>
        </w:tc>
      </w:tr>
      <w:tr>
        <w:tc>
          <w:p>
            <w:r>
              <w:rPr>
                <w:rFonts w:ascii="Kalpurush" w:cs="Kalpurush" w:eastAsia="Kalpurush" w:hAnsi="Kalpurush"/>
                <w:b/>
                <w:bCs/>
                <w:sz w:val="20"/>
                <w:szCs w:val="20"/>
              </w:rPr>
              <w:t xml:space="preserve">Issue-5 (Hotchpot / Non-joinder)</w:t>
            </w:r>
          </w:p>
        </w:tc>
        <w:tc>
          <w:p>
            <w:r>
              <w:rPr>
                <w:rFonts w:ascii="Kalpurush" w:cs="Kalpurush" w:eastAsia="Kalpurush" w:hAnsi="Kalpurush"/>
                <w:sz w:val="20"/>
                <w:szCs w:val="20"/>
              </w:rPr>
              <w:t xml:space="preserve">Hotchpot defect বিদ্যমান।</w:t>
            </w:r>
          </w:p>
        </w:tc>
        <w:tc>
          <w:p>
            <w:r>
              <w:rPr>
                <w:rFonts w:ascii="Kalpurush" w:cs="Kalpurush" w:eastAsia="Kalpurush" w:hAnsi="Kalpurush"/>
                <w:sz w:val="20"/>
                <w:szCs w:val="20"/>
              </w:rPr>
              <w:t xml:space="preserve">Government land partition-এর subject matter নয়। Relief-based test প্রয়োগ করা হয়নি।</w:t>
            </w:r>
          </w:p>
        </w:tc>
        <w:tc>
          <w:p>
            <w:r>
              <w:rPr>
                <w:rFonts w:ascii="Kalpurush" w:cs="Kalpurush" w:eastAsia="Kalpurush" w:hAnsi="Kalpurush"/>
                <w:sz w:val="20"/>
                <w:szCs w:val="20"/>
              </w:rPr>
              <w:t xml:space="preserve">Khas Khatian No. 1 vs SA 238</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H. Exhibit-wise Documentary Matrix (প্রমাণের তুলনামূলক ছক)</w:t>
      </w:r>
    </w:p>
    <w:p>
      <w:r>
        <w:rPr>
          <w:rFonts w:ascii="Kalpurush" w:cs="Kalpurush" w:eastAsia="Kalpurush" w:hAnsi="Kalpurush"/>
        </w:rPr>
        <w:t xml:space="preserve"/>
      </w:r>
    </w:p>
    <w:p>
      <w:r>
        <w:rPr>
          <w:rFonts w:ascii="Kalpurush" w:cs="Kalpurush" w:eastAsia="Kalpurush" w:hAnsi="Kalpurush"/>
          <w:sz w:val="20"/>
          <w:szCs w:val="20"/>
        </w:rPr>
        <w:t xml:space="preserve">বিচারিক প্রমাণের মূল্যায়নে পক্ষগণের documentary strength-এর contrast নিচে প্রদর্শিত হলো:</w:t>
      </w:r>
    </w:p>
    <w:p>
      <w:r>
        <w:rPr>
          <w:rFonts w:ascii="Kalpurush" w:cs="Kalpurush" w:eastAsia="Kalpurush" w:hAnsi="Kalpurush"/>
        </w:rPr>
        <w:t xml:space="preserve"/>
      </w:r>
    </w:p>
    <w:p>
      <w:r>
        <w:rPr>
          <w:rFonts w:ascii="Kalpurush" w:cs="Kalpurush" w:eastAsia="Kalpurush" w:hAnsi="Kalpurush"/>
          <w:b/>
          <w:bCs/>
          <w:sz w:val="20"/>
          <w:szCs w:val="20"/>
        </w:rPr>
        <w:t xml:space="preserve">Appellants' Evidence (Primary Records)</w:t>
      </w:r>
    </w:p>
    <w:p>
      <w:pPr>
        <w:pStyle w:val="ListParagraph"/>
        <w:numPr>
          <w:ilvl w:val="0"/>
          <w:numId w:val="1"/>
        </w:numPr>
      </w:pPr>
      <w:r>
        <w:rPr>
          <w:rFonts w:ascii="Kalpurush" w:cs="Kalpurush" w:eastAsia="Kalpurush" w:hAnsi="Kalpurush"/>
          <w:sz w:val="20"/>
          <w:szCs w:val="20"/>
        </w:rPr>
        <w:t xml:space="preserve">  CS ২ নং খতিয়ান — Exhibit (পরচা দাখিলকৃত)</w:t>
      </w:r>
    </w:p>
    <w:p>
      <w:pPr>
        <w:pStyle w:val="ListParagraph"/>
        <w:numPr>
          <w:ilvl w:val="0"/>
          <w:numId w:val="1"/>
        </w:numPr>
      </w:pPr>
      <w:r>
        <w:rPr>
          <w:rFonts w:ascii="Kalpurush" w:cs="Kalpurush" w:eastAsia="Kalpurush" w:hAnsi="Kalpurush"/>
          <w:sz w:val="20"/>
          <w:szCs w:val="20"/>
        </w:rPr>
        <w:t xml:space="preserve">  SA ২৩৮ নং খতিয়ান (Certified Copy) — Exhibit </w:t>
      </w:r>
    </w:p>
    <w:p>
      <w:pPr>
        <w:pStyle w:val="ListParagraph"/>
        <w:numPr>
          <w:ilvl w:val="0"/>
          <w:numId w:val="1"/>
        </w:numPr>
      </w:pPr>
      <w:r>
        <w:rPr>
          <w:rFonts w:ascii="Kalpurush" w:cs="Kalpurush" w:eastAsia="Kalpurush" w:hAnsi="Kalpurush"/>
          <w:sz w:val="20"/>
          <w:szCs w:val="20"/>
        </w:rPr>
        <w:t xml:space="preserve">  ১৯৫৭ সালের দলিল নং ২৩৯৮ — Exhibit</w:t>
      </w:r>
    </w:p>
    <w:p>
      <w:pPr>
        <w:pStyle w:val="ListParagraph"/>
        <w:numPr>
          <w:ilvl w:val="0"/>
          <w:numId w:val="1"/>
        </w:numPr>
      </w:pPr>
      <w:r>
        <w:rPr>
          <w:rFonts w:ascii="Kalpurush" w:cs="Kalpurush" w:eastAsia="Kalpurush" w:hAnsi="Kalpurush"/>
          <w:sz w:val="20"/>
          <w:szCs w:val="20"/>
        </w:rPr>
        <w:t xml:space="preserve">  District Record Room Certified Record — Exhibit</w:t>
      </w:r>
    </w:p>
    <w:p>
      <w:r>
        <w:rPr>
          <w:rFonts w:ascii="Kalpurush" w:cs="Kalpurush" w:eastAsia="Kalpurush" w:hAnsi="Kalpurush"/>
        </w:rPr>
        <w:t xml:space="preserve"/>
      </w:r>
    </w:p>
    <w:p>
      <w:r>
        <w:rPr>
          <w:rFonts w:ascii="Kalpurush" w:cs="Kalpurush" w:eastAsia="Kalpurush" w:hAnsi="Kalpurush"/>
          <w:b/>
          <w:bCs/>
          <w:sz w:val="20"/>
          <w:szCs w:val="20"/>
        </w:rPr>
        <w:t xml:space="preserve">Respondents' Evidence (Alternative Theory)</w:t>
      </w:r>
    </w:p>
    <w:p>
      <w:pPr>
        <w:pStyle w:val="ListParagraph"/>
        <w:numPr>
          <w:ilvl w:val="0"/>
          <w:numId w:val="1"/>
        </w:numPr>
      </w:pPr>
      <w:r>
        <w:rPr>
          <w:rFonts w:ascii="Kalpurush" w:cs="Kalpurush" w:eastAsia="Kalpurush" w:hAnsi="Kalpurush"/>
          <w:sz w:val="20"/>
          <w:szCs w:val="20"/>
        </w:rPr>
        <w:t xml:space="preserve">  AC Land Volume Note — Exhibit (DW-4 কর্তৃক Provenance Unproved)</w:t>
      </w:r>
    </w:p>
    <w:p>
      <w:pPr>
        <w:pStyle w:val="ListParagraph"/>
        <w:numPr>
          <w:ilvl w:val="0"/>
          <w:numId w:val="1"/>
        </w:numPr>
      </w:pPr>
      <w:r>
        <w:rPr>
          <w:rFonts w:ascii="Kalpurush" w:cs="Kalpurush" w:eastAsia="Kalpurush" w:hAnsi="Kalpurush"/>
          <w:sz w:val="20"/>
          <w:szCs w:val="20"/>
        </w:rPr>
        <w:t xml:space="preserve">  Alleged Misc Case 1181/1969 — </w:t>
      </w:r>
      <w:r>
        <w:rPr>
          <w:rFonts w:ascii="Kalpurush" w:cs="Kalpurush" w:eastAsia="Kalpurush" w:hAnsi="Kalpurush"/>
          <w:b/>
          <w:bCs/>
          <w:sz w:val="20"/>
          <w:szCs w:val="20"/>
        </w:rPr>
        <w:t xml:space="preserve">Produced Not</w:t>
      </w:r>
      <w:r>
        <w:rPr>
          <w:rFonts w:ascii="Kalpurush" w:cs="Kalpurush" w:eastAsia="Kalpurush" w:hAnsi="Kalpurush"/>
          <w:sz w:val="20"/>
          <w:szCs w:val="20"/>
        </w:rPr>
        <w:t xml:space="preserve"> (Parent Order Missing)</w:t>
      </w:r>
    </w:p>
    <w:p>
      <w:pPr>
        <w:pStyle w:val="ListParagraph"/>
        <w:numPr>
          <w:ilvl w:val="0"/>
          <w:numId w:val="1"/>
        </w:numPr>
      </w:pPr>
      <w:r>
        <w:rPr>
          <w:rFonts w:ascii="Kalpurush" w:cs="Kalpurush" w:eastAsia="Kalpurush" w:hAnsi="Kalpurush"/>
          <w:sz w:val="20"/>
          <w:szCs w:val="20"/>
        </w:rPr>
        <w:t xml:space="preserve">  ১৯৭৫ সালের দলিল নং ৩৫৯৬ — Exhibit Kha-2 (Material Contradiction: 6 Dags)</w:t>
      </w:r>
    </w:p>
    <w:p>
      <w:pPr>
        <w:pStyle w:val="ListParagraph"/>
        <w:numPr>
          <w:ilvl w:val="0"/>
          <w:numId w:val="1"/>
        </w:numPr>
      </w:pPr>
      <w:r>
        <w:rPr>
          <w:rFonts w:ascii="Kalpurush" w:cs="Kalpurush" w:eastAsia="Kalpurush" w:hAnsi="Kalpurush"/>
          <w:sz w:val="20"/>
          <w:szCs w:val="20"/>
        </w:rPr>
        <w:t xml:space="preserve">  Alleged ১৯৩৪ Patta/Tenancy Root — </w:t>
      </w:r>
      <w:r>
        <w:rPr>
          <w:rFonts w:ascii="Kalpurush" w:cs="Kalpurush" w:eastAsia="Kalpurush" w:hAnsi="Kalpurush"/>
          <w:b/>
          <w:bCs/>
          <w:sz w:val="20"/>
          <w:szCs w:val="20"/>
        </w:rPr>
        <w:t xml:space="preserve">Produced Not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I. FINAL SUBMISSION (সমাপনী নিবেদন)</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w:t>
      </w:r>
    </w:p>
    <w:p>
      <w:r>
        <w:rPr>
          <w:rFonts w:ascii="Kalpurush" w:cs="Kalpurush" w:eastAsia="Kalpurush" w:hAnsi="Kalpurush"/>
        </w:rPr>
        <w:t xml:space="preserve"/>
      </w:r>
    </w:p>
    <w:p>
      <w:r>
        <w:rPr>
          <w:rFonts w:ascii="Kalpurush" w:cs="Kalpurush" w:eastAsia="Kalpurush" w:hAnsi="Kalpurush"/>
          <w:sz w:val="20"/>
          <w:szCs w:val="20"/>
        </w:rPr>
        <w:t xml:space="preserve">Respondents seek to defeat the appellants' partition rights by relying on a substantive displacement of a finally published record, but the alleged corrective event—the legal source, proceeding, order, authority and implementation of that displacement—has not been reliably established; and their own later documentary conduct creates a material inconsistency.</w:t>
      </w:r>
    </w:p>
    <w:p>
      <w:r>
        <w:rPr>
          <w:rFonts w:ascii="Kalpurush" w:cs="Kalpurush" w:eastAsia="Kalpurush" w:hAnsi="Kalpurush"/>
        </w:rPr>
        <w:t xml:space="preserve"/>
      </w:r>
    </w:p>
    <w:p>
      <w:r>
        <w:rPr>
          <w:rFonts w:ascii="Kalpurush" w:cs="Kalpurush" w:eastAsia="Kalpurush" w:hAnsi="Kalpurush"/>
          <w:sz w:val="20"/>
          <w:szCs w:val="20"/>
        </w:rPr>
        <w:t xml:space="preserve">প্রশ্নটি হওয়া উচিত নয়—“SA 238 ভুল হতে পারে কি?” </w:t>
      </w:r>
    </w:p>
    <w:p>
      <w:r>
        <w:rPr>
          <w:rFonts w:ascii="Kalpurush" w:cs="Kalpurush" w:eastAsia="Kalpurush" w:hAnsi="Kalpurush"/>
          <w:sz w:val="20"/>
          <w:szCs w:val="20"/>
        </w:rPr>
        <w:t xml:space="preserve">প্রশ্নটি হওয়া উচিত—</w:t>
      </w:r>
      <w:r>
        <w:rPr>
          <w:rFonts w:ascii="Kalpurush" w:cs="Kalpurush" w:eastAsia="Kalpurush" w:hAnsi="Kalpurush"/>
          <w:b/>
          <w:bCs/>
          <w:sz w:val="20"/>
          <w:szCs w:val="20"/>
        </w:rPr>
        <w:t xml:space="preserve">“এই particular SA 238 কীভাবে, কখন এবং কোন নির্ভরযোগ্য আইনগত প্রক্রিয়ায় displaced হয়েছিল?”</w:t>
      </w:r>
    </w:p>
    <w:p>
      <w:r>
        <w:rPr>
          <w:rFonts w:ascii="Kalpurush" w:cs="Kalpurush" w:eastAsia="Kalpurush" w:hAnsi="Kalpurush"/>
        </w:rPr>
        <w:t xml:space="preserve"/>
      </w:r>
    </w:p>
    <w:p>
      <w:r>
        <w:rPr>
          <w:rFonts w:ascii="Kalpurush" w:cs="Kalpurush" w:eastAsia="Kalpurush" w:hAnsi="Kalpurush"/>
          <w:sz w:val="20"/>
          <w:szCs w:val="20"/>
        </w:rPr>
        <w:t xml:space="preserve">সেই bridge প্রমাণিত হয় নাই। আর যখন সেই bridge প্রমাণিত হয় নাই, তখন কেবল একটি unexplained consequential volume entry-এর উপর দাঁড় করিয়ে প্রকৃত co-sharers-এর partition remedy সম্পূর্ণভাবে নাকচ করা ন্যায়সংগত হবে না। </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प्रार्थিত প্রতিকার (Relief)</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বিজ্ঞ নিম্ন আদালতের ০৫/০৪/২০২৬ তারিখের judgment এবং ০৯/০৪/২০২৬ তারিখের decree আইন ও সাক্ষ্যের সঠিক মূল্যায়নের পরিপন্থী মর্মে সেটি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রেকর্ডে প্রমাণিত SA ২৩৮ নং খতিয়ানের ভিত্তিতে আপীল্যান্টদের প্রাপ্য অংশ নির্ধারণপূর্বক বাটোয়ারার preliminary decree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ন্যায়বিচারের স্বার্থে আপীলটি খরচসহ মঞ্জুর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সবিনয় নিবেদন ইতি।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 Counsel's Note: Preliminary Legal Issue / Maintainability</w:t>
      </w:r>
    </w:p>
    <w:p>
      <w:pPr>
        <w:pStyle w:val="ListParagraph"/>
        <w:numPr>
          <w:ilvl w:val="0"/>
          <w:numId w:val="1"/>
        </w:numPr>
      </w:pPr>
      <w:r>
        <w:rPr>
          <w:rFonts w:ascii="Kalpurush" w:cs="Kalpurush" w:eastAsia="Kalpurush" w:hAnsi="Kalpurush"/>
          <w:sz w:val="20"/>
          <w:szCs w:val="20"/>
        </w:rPr>
        <w:t xml:space="preserve">  </w:t>
      </w:r>
      <w:r>
        <w:rPr>
          <w:rFonts w:ascii="Kalpurush" w:cs="Kalpurush" w:eastAsia="Kalpurush" w:hAnsi="Kalpurush"/>
          <w:b/>
          <w:bCs/>
          <w:sz w:val="20"/>
          <w:szCs w:val="20"/>
        </w:rPr>
        <w:t xml:space="preserve">SAT Act Sections 145A/145F (Jurisdiction Audit):</w:t>
      </w:r>
      <w:r>
        <w:rPr>
          <w:rFonts w:ascii="Kalpurush" w:cs="Kalpurush" w:eastAsia="Kalpurush" w:hAnsi="Kalpurush"/>
          <w:sz w:val="20"/>
          <w:szCs w:val="20"/>
        </w:rPr>
        <w:t xml:space="preserve"> Counsel must audit the plaint/judgment to confirm:</w:t>
      </w:r>
    </w:p>
    <w:p>
      <w:r>
        <w:rPr>
          <w:rFonts w:ascii="Kalpurush" w:cs="Kalpurush" w:eastAsia="Kalpurush" w:hAnsi="Kalpurush"/>
          <w:sz w:val="20"/>
          <w:szCs w:val="20"/>
        </w:rPr>
        <w:t xml:space="preserve">    1. Is SA 238 strictly the "last revised record-of-rights"? (Note: Diara survey was conducted but *not gazetted* due to Forest Department objections; hence SA 238 remains the functional last revised ROR for mutation in this mouza).</w:t>
      </w:r>
    </w:p>
    <w:p>
      <w:r>
        <w:rPr>
          <w:rFonts w:ascii="Kalpurush" w:cs="Kalpurush" w:eastAsia="Kalpurush" w:hAnsi="Kalpurush"/>
          <w:sz w:val="20"/>
          <w:szCs w:val="20"/>
        </w:rPr>
        <w:t xml:space="preserve">    2. What is the establishment date of the Land Survey Tribunal for this area?</w:t>
      </w:r>
    </w:p>
    <w:p>
      <w:r>
        <w:rPr>
          <w:rFonts w:ascii="Kalpurush" w:cs="Kalpurush" w:eastAsia="Kalpurush" w:hAnsi="Kalpurush"/>
          <w:sz w:val="20"/>
          <w:szCs w:val="20"/>
        </w:rPr>
        <w:t xml:space="preserve">    3. What is the actual relief in the 2016 partition suit?</w:t>
      </w:r>
    </w:p>
    <w:p>
      <w:r>
        <w:rPr>
          <w:rFonts w:ascii="Kalpurush" w:cs="Kalpurush" w:eastAsia="Kalpurush" w:hAnsi="Kalpurush"/>
          <w:sz w:val="20"/>
          <w:szCs w:val="20"/>
        </w:rPr>
        <w:t xml:space="preserve">    4. Does the suit seek to *directly* declare SA 238 void, or does it seek partition based on *existing title/co-sharer rights*?</w:t>
      </w:r>
    </w:p>
    <w:p>
      <w:r>
        <w:rPr>
          <w:rFonts w:ascii="Kalpurush" w:cs="Kalpurush" w:eastAsia="Kalpurush" w:hAnsi="Kalpurush"/>
          <w:sz w:val="20"/>
          <w:szCs w:val="20"/>
        </w:rPr>
        <w:t xml:space="preserve">    *Relevance:* If the suit arises out of the final publication of the last revised ROR, Section 145F bars Civil Court jurisdiction. This threshold issue of maintainability must be prepared for as a primary defense against the decree's validity.</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2026-08-19T16:07:01.931Z</dcterms:created>
  <dcterms:modified xsi:type="dcterms:W3CDTF">2026-08-19T16:07:01.936Z</dcterms:modified>
</cp:coreProperties>
</file>

<file path=docProps/custom.xml><?xml version="1.0" encoding="utf-8"?>
<Properties xmlns="http://schemas.openxmlformats.org/officeDocument/2006/custom-properties" xmlns:vt="http://schemas.openxmlformats.org/officeDocument/2006/docPropsVTypes"/>
</file>