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Kalpurush" w:cs="Kalpurush" w:eastAsia="Kalpurush" w:hAnsi="Kalpurush"/>
          <w:sz w:val="20"/>
          <w:szCs w:val="20"/>
        </w:rPr>
        <w:t xml:space="preserve">জেলা জজ আদালত, টাঙ্গাইল</w:t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আপীল মামলা নং ৩৮/২০২৬ (বাটোয়ারা মামলা নং ৬৬/২০১৬)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হাতেম আলী ও অন্যান্য (আপীল্যান্ট/বাদী) বনাম আলহাজ উদ্দিন ও অন্যান্য (রেসপন্ডেন্ট/বিবাদী)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1"/>
        <w:jc w:val="center"/>
      </w:pPr>
      <w:r>
        <w:rPr>
          <w:rFonts w:ascii="Kalpurush" w:cs="Kalpurush" w:eastAsia="Kalpurush" w:hAnsi="Kalpurush"/>
          <w:sz w:val="20"/>
          <w:szCs w:val="20"/>
        </w:rPr>
        <w:t xml:space="preserve">আপীল্যান্টপক্ষের সারসংক্ষেপ (Summary)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Version 95 — Final Evidentiary Architecture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A. Central Appellate Proposition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SA 238 constitutes statutory evidence carrying a rebuttable presumption of correctness (Section 144A). Respondents who seek to displace it must establish the alleged error by reliable evidence. (56 DLR (AD) 53).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B. Documentary Chain &amp; Displacement Theory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The Chain:</w:t>
      </w:r>
      <w:r>
        <w:rPr>
          <w:rFonts w:ascii="Kalpurush" w:cs="Kalpurush" w:eastAsia="Kalpurush" w:hAnsi="Kalpurush"/>
          <w:sz w:val="20"/>
          <w:szCs w:val="20"/>
        </w:rPr>
        <w:t xml:space="preserve"> CS (খাস) → State Acquisition → SA 238 (আব্দুল আলী ১৬ আনা)। 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The Unproved Root:</w:t>
      </w:r>
      <w:r>
        <w:rPr>
          <w:rFonts w:ascii="Kalpurush" w:cs="Kalpurush" w:eastAsia="Kalpurush" w:hAnsi="Kalpurush"/>
          <w:sz w:val="20"/>
          <w:szCs w:val="20"/>
        </w:rPr>
        <w:t xml:space="preserve"> Respondents rely on an alleged 1934 tenancy but have not produced reliable evidence establishing that interest in the disputed holding.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The Missing Source (Misc Case 1181/1969):</w:t>
      </w:r>
      <w:r>
        <w:rPr>
          <w:rFonts w:ascii="Kalpurush" w:cs="Kalpurush" w:eastAsia="Kalpurush" w:hAnsi="Kalpurush"/>
          <w:sz w:val="20"/>
          <w:szCs w:val="20"/>
        </w:rPr>
        <w:t xml:space="preserve"> Respondents rely upon the alleged proceeding as the juridical source of a substantive change. Parent order অনুপস্থিত; Evidence Act 114(g) অনুযায়ী adverse inference প্রযোজ্য। AC Land Volume-এর provenance DW-4 প্রমাণ করতে ব্যর্থ।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C. Internal Contradiction ও Inheritance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1975 Deed (No. 3596):</w:t>
      </w:r>
      <w:r>
        <w:rPr>
          <w:rFonts w:ascii="Kalpurush" w:cs="Kalpurush" w:eastAsia="Kalpurush" w:hAnsi="Kalpurush"/>
          <w:sz w:val="20"/>
          <w:szCs w:val="20"/>
        </w:rPr>
        <w:t xml:space="preserve"> ১৯৬৯ সালের correction-এ SA 238 এক দাগে সীমাবদ্ধ হলে ১৯৭৫ সালের registered deed-এ ছয়টি দাগ কেন? This is a material documentary inconsistency requiring explanation.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Comparative Documentary Test:</w:t>
      </w:r>
      <w:r>
        <w:rPr>
          <w:rFonts w:ascii="Kalpurush" w:cs="Kalpurush" w:eastAsia="Kalpurush" w:hAnsi="Kalpurush"/>
          <w:sz w:val="20"/>
          <w:szCs w:val="20"/>
        </w:rPr>
        <w:t xml:space="preserve"> The question is not whether Sonabhanu was an heir, but whether this SA 238 holding was Abdul Karim’s holding. অন্য খতিয়ানে উত্তরাধিকার প্রমাণ হলেও SA 238-এ documentary bridge কোথায়? অন্যান্য উত্তরাধিকারী থাকা সত্ত্বেও শুধু সোনাভানুর নাম correction theory-এর logical consistency-কে প্রশ্নবিদ্ধ করে।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D. Partition Issues &amp; Conduct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Hotchpot &amp; Non-joinder:</w:t>
      </w:r>
      <w:r>
        <w:rPr>
          <w:rFonts w:ascii="Kalpurush" w:cs="Kalpurush" w:eastAsia="Kalpurush" w:hAnsi="Kalpurush"/>
          <w:sz w:val="20"/>
          <w:szCs w:val="20"/>
        </w:rPr>
        <w:t xml:space="preserve"> Government's non-joinder is not fatal if Government's interest is not the subject of relief. (49 DLR (AD) 15).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Conduct:</w:t>
      </w:r>
      <w:r>
        <w:rPr>
          <w:rFonts w:ascii="Kalpurush" w:cs="Kalpurush" w:eastAsia="Kalpurush" w:hAnsi="Kalpurush"/>
          <w:sz w:val="20"/>
          <w:szCs w:val="20"/>
        </w:rPr>
        <w:t xml:space="preserve"> Respondents বাটোয়ারা মামলায় নিজেদের কোনো সাহাম প্রার্থনা না করে suit dismissal-এর দিকে জোর দিয়েছে। This cumulative conduct implies an intent to obstruct partition rather than establish an affirmative share.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E. Trial Court Errors &amp; Exhibit Matrix 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Error:</w:t>
      </w:r>
      <w:r>
        <w:rPr>
          <w:rFonts w:ascii="Kalpurush" w:cs="Kalpurush" w:eastAsia="Kalpurush" w:hAnsi="Kalpurush"/>
          <w:sz w:val="20"/>
          <w:szCs w:val="20"/>
        </w:rPr>
        <w:t xml:space="preserve"> Trial Court presumed a substantive correction without the parent order and overlooked the material contradiction of the 1975 deed.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Matrix:</w:t>
      </w:r>
      <w:r>
        <w:rPr>
          <w:rFonts w:ascii="Kalpurush" w:cs="Kalpurush" w:eastAsia="Kalpurush" w:hAnsi="Kalpurush"/>
          <w:sz w:val="20"/>
          <w:szCs w:val="20"/>
        </w:rPr>
        <w:t xml:space="preserve"> Appellants rely on Primary Records (CS, SA 238 Certified Copy, 1957 deed). Respondents rely on secondary/unproven entries (AC Volume, no parent order, conflicting 1975 deed).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Final Submission</w:t>
      </w:r>
    </w:p>
    <w:p>
      <w:pPr>
        <w:ind w:left="720"/>
      </w:pPr>
      <w:r>
        <w:rPr>
          <w:rFonts w:ascii="Kalpurush" w:cs="Kalpurush" w:eastAsia="Kalpurush" w:hAnsi="Kalpurush"/>
          <w:b/>
          <w:bCs/>
          <w:i/>
          <w:iCs/>
          <w:sz w:val="20"/>
          <w:szCs w:val="20"/>
        </w:rPr>
        <w:t xml:space="preserve">প্রশ্নটি হওয়া উচিত নয়—“SA 238 ভুল হতে পারে কি?” প্রশ্নটি হওয়া উচিত—“এই particular SA 238 কীভাবে, কখন এবং কোন নির্ভরযোগ্য আইনগত প্রক্রিয়ায় displaced হয়েছিল?”</w:t>
      </w:r>
      <w:r>
        <w:rPr>
          <w:rFonts w:ascii="Kalpurush" w:cs="Kalpurush" w:eastAsia="Kalpurush" w:hAnsi="Kalpurush"/>
          <w:i/>
          <w:iCs/>
          <w:sz w:val="20"/>
          <w:szCs w:val="20"/>
        </w:rPr>
        <w:t xml:space="preserve"> 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সেই bridge প্রমাণিত হয় নাই, তাই partition remedy নাকচ করা ন্যায়সংগত হবে না।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Counsel's Note: Jurisdiction Audit (145A/145F)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যেহেতু Diara survey gazetted হয়নি, SA 238 অত্র এলাকার last revised record-of-rights। Civil Court-এর বদলে Land Survey Tribunal-এর exclusive jurisdiction-এর question-টি merits-এর আগে threshold maintainability issue হিসেবে আসতে পারে।</w:t>
      </w:r>
    </w:p>
    <w:p>
      <w:r>
        <w:rPr>
          <w:rFonts w:ascii="Kalpurush" w:cs="Kalpurush" w:eastAsia="Kalpurush" w:hAnsi="Kalpurush"/>
        </w:rPr>
        <w:t xml:space="preserve"/>
      </w:r>
    </w:p>
    <w:sectPr>
      <w:pgSz w:w="12240" w:h="2016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2026-08-19T16:07:01.992Z</dcterms:created>
  <dcterms:modified xsi:type="dcterms:W3CDTF">2026-08-19T16:07:01.992Z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