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সহকারী জজ/সিভিল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অতিরিক্ত ও পরিপূরক বিশদ লিখিত যুক্তিতর্ক</w:t>
      </w:r>
    </w:p>
    <w:p>
      <w:r>
        <w:rPr>
          <w:rFonts w:ascii="Kalpurush" w:cs="Kalpurush" w:eastAsia="Kalpurush" w:hAnsi="Kalpurush"/>
          <w:b/>
          <w:bCs/>
          <w:sz w:val="20"/>
          <w:szCs w:val="20"/>
        </w:rPr>
        <w:t xml:space="preserve">Version 97</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দাখিলকৃত আপীল মেমোরিয়ালে উত্থাপিত grounds-সমূহের ধারাবাহিকতায় এবং মহামান্য সুপ্রিম কোর্টের আপীলেট ডিভিশন ও হাইকোর্ট ডিভিশনের সুপ্রতিষ্ঠিত নজিরসমূহের আলোকে নিম্নোক্ত আইনগত ও তথ্যগত বিষয়সমূহ সুবিচারের স্বার্থে বিশেষভাবে বিবেচনার দাবি রাখে:</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 মামলার প্রকৃত প্রশ্ন: “কে মূল রায়ত ছিলেন?”—এই প্রশ্নের উত্তর রেকর্ডের ধারাবাহিকতায় খুঁজিতে হইবে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বিজ্ঞ ট্রায়াল কোর্টের খারিজী রায় পরীক্ষা করিলে দেখা যায়, বিবাদীপক্ষের সম্পূর্ণ বক্তব্য গ্রহণ করিতে গেলে প্রথমেই একটি foundational প্রশ্নের উত্তর দিতে হয়: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আব্দুল করিম কীভাবে এবং কোন বৈধ দলিল বা সরকারি রেকর্ডের মাধ্যমে নালিশী ভূমির রায়ত হইয়াছিলেন?</w:t>
      </w:r>
    </w:p>
    <w:p>
      <w:r>
        <w:rPr>
          <w:rFonts w:ascii="Kalpurush" w:cs="Kalpurush" w:eastAsia="Kalpurush" w:hAnsi="Kalpurush"/>
        </w:rPr>
        <w:t xml:space="preserve"/>
      </w:r>
    </w:p>
    <w:p>
      <w:r>
        <w:rPr>
          <w:rFonts w:ascii="Kalpurush" w:cs="Kalpurush" w:eastAsia="Kalpurush" w:hAnsi="Kalpurush"/>
          <w:sz w:val="20"/>
          <w:szCs w:val="20"/>
        </w:rPr>
        <w:t xml:space="preserve">এই প্রশ্নটি এড়িয়ে সরাসরি পরবর্তী উত্তরাধিকার বা ১৯৬৯ সালের কথিত সংশোধনে যাওয়া আইনগতভাবে অসম্ভব। কারণ, বিবাদীপক্ষের সম্পূর্ণ দাবি দাঁড়িয়ে আছে এই অনুমানভিত্তিক শৃঙ্খলের উপর:</w:t>
      </w:r>
    </w:p>
    <w:p>
      <w:r>
        <w:rPr>
          <w:rFonts w:ascii="Kalpurush" w:cs="Kalpurush" w:eastAsia="Kalpurush" w:hAnsi="Kalpurush"/>
        </w:rPr>
        <w:t xml:space="preserve"/>
      </w:r>
    </w:p>
    <w:p>
      <w:r>
        <w:rPr>
          <w:rFonts w:ascii="Kalpurush" w:cs="Kalpurush" w:eastAsia="Kalpurush" w:hAnsi="Kalpurush"/>
          <w:sz w:val="20"/>
          <w:szCs w:val="20"/>
        </w:rPr>
        <w:t xml:space="preserve">$$\text{আব্দুল করিম} \longrightarrow \text{কথিত প্রজা} \longrightarrow \text{মৃত্যুর পর উত্তরাধিকার} \longrightarrow \text{সোনাভানু} \longrightarrow \text{পরবর্তী হস্তান্তর}$$</w:t>
      </w:r>
    </w:p>
    <w:p>
      <w:r>
        <w:rPr>
          <w:rFonts w:ascii="Kalpurush" w:cs="Kalpurush" w:eastAsia="Kalpurush" w:hAnsi="Kalpurush"/>
        </w:rPr>
        <w:t xml:space="preserve"/>
      </w:r>
    </w:p>
    <w:p>
      <w:r>
        <w:rPr>
          <w:rFonts w:ascii="Kalpurush" w:cs="Kalpurush" w:eastAsia="Kalpurush" w:hAnsi="Kalpurush"/>
          <w:sz w:val="20"/>
          <w:szCs w:val="20"/>
        </w:rPr>
        <w:t xml:space="preserve">অতএব, এই chain-এর প্রথম link-টিই (Root of Title) যদি নির্ভরযোগ্য সাক্ষ্য-প্রমাণে প্রতিষ্ঠিত না হয়, তবে পরবর্তী link-গুলির উপর দাঁড়িয়ে কোনো স্বত্ব প্রতিষ্ঠা করা যায় না।</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আব্দুল করিমের কথিত মূল প্রজা স্বত্বের কোনো প্রমাণ না থাকা সত্ত্বেও বিবাদীদের উত্তরাধিকারী দাবিকে বৈধ ধরে নিয়ে মারাত্মক আইনগত ভুল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বিজ্ঞ ট্রায়াল কোর্টের এই সিদ্ধান্ত আইন ও সাক্ষ্যের সুস্পষ্ট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 CS রেকর্ডে ব্যক্তিগত রায়ত না থাকা—পরবর্তী SA রেকর্ড বোঝার ক্ষেত্রে গুরুত্বপূর্ণ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নালিশী সম্পত্তির পূর্ববর্তী CS রেকর্ডে জমি ব্যক্তিগত রায়তি নামে রেকর্ডভুক্ত ছিল না; বরং তা আটিয়া জমিদারির নবাব এস্টেটের খাস (Court of Wards) হিসেবে প্রতিফলিত ছিল—এই factual circumstance মামলার title history বোঝার জন্য অত্যন্ত তাৎপর্যপূর্ণ।</w:t>
      </w:r>
    </w:p>
    <w:p>
      <w:r>
        <w:rPr>
          <w:rFonts w:ascii="Kalpurush" w:cs="Kalpurush" w:eastAsia="Kalpurush" w:hAnsi="Kalpurush"/>
        </w:rPr>
        <w:t xml:space="preserve"/>
      </w:r>
    </w:p>
    <w:p>
      <w:r>
        <w:rPr>
          <w:rFonts w:ascii="Kalpurush" w:cs="Kalpurush" w:eastAsia="Kalpurush" w:hAnsi="Kalpurush"/>
          <w:sz w:val="20"/>
          <w:szCs w:val="20"/>
        </w:rPr>
        <w:t xml:space="preserve">এখানে আপীল্যান্টদের বক্তব্য সুনির্দিষ্ট:</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যখন CS খতিয়ান নং ২-এ কোনো ব্যক্তিগত raiyat-এর অস্তিত্ব নেই, এবং বিবাদীপক্ষ পরবর্তীতে সেই ব্যক্তির নামে বৈধ tenancy সৃষ্টি হওয়ার কোনো প্রাথমিক ও নির্ভরযোগ্য দলিল দেখাতে পারেন না, তখন State Acquisition (SA) পর্যায়ে সরকারি রেকর্ডে কার নাম রায়ত হিসেবে চূড়ান্তভাবে স্বীকৃত ও প্রকাশিত হয়েছে—সেটি স্বত্ব নির্ণয়ের ক্ষেত্রে সর্বাধিক নির্ভরযোগ্য সংবিধিবদ্ধ সাক্ষ্য।</w:t>
      </w:r>
    </w:p>
    <w:p>
      <w:r>
        <w:rPr>
          <w:rFonts w:ascii="Kalpurush" w:cs="Kalpurush" w:eastAsia="Kalpurush" w:hAnsi="Kalpurush"/>
        </w:rPr>
        <w:t xml:space="preserve"/>
      </w:r>
    </w:p>
    <w:p>
      <w:r>
        <w:rPr>
          <w:rFonts w:ascii="Kalpurush" w:cs="Kalpurush" w:eastAsia="Kalpurush" w:hAnsi="Kalpurush"/>
          <w:sz w:val="20"/>
          <w:szCs w:val="20"/>
        </w:rPr>
        <w:t xml:space="preserve">অর্থাৎ—</w:t>
      </w:r>
    </w:p>
    <w:p>
      <w:r>
        <w:rPr>
          <w:rFonts w:ascii="Kalpurush" w:cs="Kalpurush" w:eastAsia="Kalpurush" w:hAnsi="Kalpurush"/>
          <w:sz w:val="20"/>
          <w:szCs w:val="20"/>
        </w:rPr>
        <w:t xml:space="preserve">$$\text{CS (খাস জমি)} \longrightarrow \text{State Acquisition (রাষ্ট্রীয় অধিগ্রহণ)} \longrightarrow \text{SA ২৩৮ খতিয়ান (আব্দুল আলী)}$$</w:t>
      </w:r>
    </w:p>
    <w:p>
      <w:r>
        <w:rPr>
          <w:rFonts w:ascii="Kalpurush" w:cs="Kalpurush" w:eastAsia="Kalpurush" w:hAnsi="Kalpurush"/>
        </w:rPr>
        <w:t xml:space="preserve"/>
      </w:r>
    </w:p>
    <w:p>
      <w:r>
        <w:rPr>
          <w:rFonts w:ascii="Kalpurush" w:cs="Kalpurush" w:eastAsia="Kalpurush" w:hAnsi="Kalpurush"/>
          <w:sz w:val="20"/>
          <w:szCs w:val="20"/>
        </w:rPr>
        <w:t xml:space="preserve">এই historical sequence আদালতের সামনে বিচ্ছিন্নভাবে নয়, ধারাবাহিকভাবে দেখতে হবে।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বিজ্ঞ ট্রায়াল কোর্ট এই ঐতিহাসিক ধারাবাহিকতা উপেক্ষা করিয়া চরম ভুল সিদ্ধান্তে উপনীত হইয়াছেন।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 ১৯৩৪ সালের কথিত পত্তন—Chief Manager-এর অনুমোদনহীন পত্তনের আইনগত অসারতা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মূল বক্তব্যের ভিত্তি হলো ১৯৩৪ সালের একটি কথিত অপঞ্জিকৃত পত্তন। কিন্তু আদালতের সামনে মৌলিক প্রশ্ন:</w:t>
      </w:r>
    </w:p>
    <w:p>
      <w:r>
        <w:rPr>
          <w:rFonts w:ascii="Kalpurush" w:cs="Kalpurush" w:eastAsia="Kalpurush" w:hAnsi="Kalpurush"/>
        </w:rPr>
        <w:t xml:space="preserve"/>
      </w:r>
    </w:p>
    <w:p>
      <w:r>
        <w:rPr>
          <w:rFonts w:ascii="Kalpurush" w:cs="Kalpurush" w:eastAsia="Kalpurush" w:hAnsi="Kalpurush"/>
          <w:sz w:val="20"/>
          <w:szCs w:val="20"/>
        </w:rPr>
        <w:t xml:space="preserve">একটি বৈধ ও কার্যকর tenancy-এর documentary footprint কোথায়?</w:t>
      </w:r>
    </w:p>
    <w:p>
      <w:pPr>
        <w:pStyle w:val="ListParagraph"/>
        <w:numPr>
          <w:ilvl w:val="0"/>
          <w:numId w:val="1"/>
        </w:numPr>
      </w:pPr>
      <w:r>
        <w:rPr>
          <w:rFonts w:ascii="Kalpurush" w:cs="Kalpurush" w:eastAsia="Kalpurush" w:hAnsi="Kalpurush"/>
          <w:sz w:val="20"/>
          <w:szCs w:val="20"/>
        </w:rPr>
        <w:t xml:space="preserve">পাট্টা;</w:t>
      </w:r>
    </w:p>
    <w:p>
      <w:pPr>
        <w:pStyle w:val="ListParagraph"/>
        <w:numPr>
          <w:ilvl w:val="0"/>
          <w:numId w:val="1"/>
        </w:numPr>
      </w:pPr>
      <w:r>
        <w:rPr>
          <w:rFonts w:ascii="Kalpurush" w:cs="Kalpurush" w:eastAsia="Kalpurush" w:hAnsi="Kalpurush"/>
          <w:sz w:val="20"/>
          <w:szCs w:val="20"/>
        </w:rPr>
        <w:t xml:space="preserve">কবুলিয়ত;</w:t>
      </w:r>
    </w:p>
    <w:p>
      <w:pPr>
        <w:pStyle w:val="ListParagraph"/>
        <w:numPr>
          <w:ilvl w:val="0"/>
          <w:numId w:val="1"/>
        </w:numPr>
      </w:pPr>
      <w:r>
        <w:rPr>
          <w:rFonts w:ascii="Kalpurush" w:cs="Kalpurush" w:eastAsia="Kalpurush" w:hAnsi="Kalpurush"/>
          <w:sz w:val="20"/>
          <w:szCs w:val="20"/>
        </w:rPr>
        <w:t xml:space="preserve">অনুমোদিত settlement document;</w:t>
      </w:r>
    </w:p>
    <w:p>
      <w:pPr>
        <w:pStyle w:val="ListParagraph"/>
        <w:numPr>
          <w:ilvl w:val="0"/>
          <w:numId w:val="1"/>
        </w:numPr>
      </w:pPr>
      <w:r>
        <w:rPr>
          <w:rFonts w:ascii="Kalpurush" w:cs="Kalpurush" w:eastAsia="Kalpurush" w:hAnsi="Kalpurush"/>
          <w:sz w:val="20"/>
          <w:szCs w:val="20"/>
        </w:rPr>
        <w:t xml:space="preserve">সংশ্লিষ্ট estate record বা Dakhila;</w:t>
      </w:r>
    </w:p>
    <w:p>
      <w:pPr>
        <w:pStyle w:val="ListParagraph"/>
        <w:numPr>
          <w:ilvl w:val="0"/>
          <w:numId w:val="1"/>
        </w:numPr>
      </w:pPr>
      <w:r>
        <w:rPr>
          <w:rFonts w:ascii="Kalpurush" w:cs="Kalpurush" w:eastAsia="Kalpurush" w:hAnsi="Kalpurush"/>
          <w:sz w:val="20"/>
          <w:szCs w:val="20"/>
        </w:rPr>
        <w:t xml:space="preserve">অথবা পরবর্তী সরকারি নথিতে তার কোনো প্রমাণ।</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12 BLC (AD) 79 (*Harun-al-Rashid Mollah vs. Bangladesh*)</w:t>
      </w:r>
      <w:r>
        <w:rPr>
          <w:rFonts w:ascii="Kalpurush" w:cs="Kalpurush" w:eastAsia="Kalpurush" w:hAnsi="Kalpurush"/>
          <w:sz w:val="20"/>
          <w:szCs w:val="20"/>
        </w:rPr>
        <w:t xml:space="preserve"> এবং হাইকোর্ট ডিভিশন </w:t>
      </w:r>
      <w:r>
        <w:rPr>
          <w:rFonts w:ascii="Kalpurush" w:cs="Kalpurush" w:eastAsia="Kalpurush" w:hAnsi="Kalpurush"/>
          <w:b/>
          <w:bCs/>
          <w:sz w:val="20"/>
          <w:szCs w:val="20"/>
        </w:rPr>
        <w:t xml:space="preserve">42 DLR (HD) 434 (*Noor Mohammad Khan vs. Government*)</w:t>
      </w:r>
      <w:r>
        <w:rPr>
          <w:rFonts w:ascii="Kalpurush" w:cs="Kalpurush" w:eastAsia="Kalpurush" w:hAnsi="Kalpurush"/>
          <w:sz w:val="20"/>
          <w:szCs w:val="20"/>
        </w:rPr>
        <w:t xml:space="preserve"> মামলায় দ্ব্যর্থহীনভাবে ঘোষণা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[12 BLC (AD) 79]:</w:t>
      </w:r>
      <w:r>
        <w:rPr>
          <w:rFonts w:ascii="Kalpurush" w:cs="Kalpurush" w:eastAsia="Kalpurush" w:hAnsi="Kalpurush"/>
          <w:i/>
          <w:iCs/>
          <w:sz w:val="20"/>
          <w:szCs w:val="20"/>
        </w:rPr>
        <w:t xml:space="preserve"> *"Rent receipts and settlements of Nawab Estate/Court of Wards are void ab initio without the formal signature and sanction of the Chief Manager. An unregistered pattan or unauthorized private amalnama confers no raiyati tenancy right whatsoever."*</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[42 DLR (HD) 434]:</w:t>
      </w:r>
      <w:r>
        <w:rPr>
          <w:rFonts w:ascii="Kalpurush" w:cs="Kalpurush" w:eastAsia="Kalpurush" w:hAnsi="Kalpurush"/>
          <w:i/>
          <w:iCs/>
          <w:sz w:val="20"/>
          <w:szCs w:val="20"/>
        </w:rPr>
        <w:t xml:space="preserve"> *"No title or tenancy can be acquired on the basis of unregistered salami receipts or private amalnama without proving lawful authority and sanction of the Court of Wards/Chief Manager."*</w:t>
      </w:r>
    </w:p>
    <w:p>
      <w:r>
        <w:rPr>
          <w:rFonts w:ascii="Kalpurush" w:cs="Kalpurush" w:eastAsia="Kalpurush" w:hAnsi="Kalpurush"/>
        </w:rPr>
        <w:t xml:space="preserve"/>
      </w:r>
    </w:p>
    <w:p>
      <w:r>
        <w:rPr>
          <w:rFonts w:ascii="Kalpurush" w:cs="Kalpurush" w:eastAsia="Kalpurush" w:hAnsi="Kalpurush"/>
          <w:sz w:val="20"/>
          <w:szCs w:val="20"/>
        </w:rPr>
        <w:t xml:space="preserve">বিবাদীপক্ষ ১৯৩৪ সালের কথিত পত্তনের কোনো অনুমোদিত দলিল বা Chief Manager-এর অনুমোদন প্রদর্শন করিতে পারে নাই। সুতরাং আব্দুল করিমের নামে কোনো বৈধ স্বত্ব জন্মায়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অস্তিত্বহীন ও বেআইনি পত্তনের উপর নির্ভর করিয়া বিজ্ঞ ট্রায়াল কোর্ট বিবাদীদের কথিত দাবি গ্রহণ করিয়া গুরুতর আইনগত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 SA ২৩৮ নং খতিয়ান—State Acquisition Act-এর চূড়ান্ত ফল এবং ইহার সংবিধিবদ্ধ সাক্ষ্যগত মর্যাদা</w:t>
      </w:r>
    </w:p>
    <w:p>
      <w:r>
        <w:rPr>
          <w:rFonts w:ascii="Kalpurush" w:cs="Kalpurush" w:eastAsia="Kalpurush" w:hAnsi="Kalpurush"/>
        </w:rPr>
        <w:t xml:space="preserve"/>
      </w:r>
    </w:p>
    <w:p>
      <w:r>
        <w:rPr>
          <w:rFonts w:ascii="Kalpurush" w:cs="Kalpurush" w:eastAsia="Kalpurush" w:hAnsi="Kalpurush"/>
          <w:sz w:val="20"/>
          <w:szCs w:val="20"/>
        </w:rPr>
        <w:t xml:space="preserve">নালিশী জোতের SA ২৩৮ নং খতিয়ানে আপীল্যান্টদের পূর্বসূরি আব্দুল আলীর নাম এককভাবে ১৬ আনা রায়ত হিসেবে চূড়ান্তভাবে প্রকাশিত হইয়াছে।</w:t>
      </w:r>
    </w:p>
    <w:p>
      <w:r>
        <w:rPr>
          <w:rFonts w:ascii="Kalpurush" w:cs="Kalpurush" w:eastAsia="Kalpurush" w:hAnsi="Kalpurush"/>
        </w:rPr>
        <w:t xml:space="preserve"/>
      </w:r>
    </w:p>
    <w:p>
      <w:r>
        <w:rPr>
          <w:rFonts w:ascii="Kalpurush" w:cs="Kalpurush" w:eastAsia="Kalpurush" w:hAnsi="Kalpurush"/>
          <w:sz w:val="20"/>
          <w:szCs w:val="20"/>
        </w:rPr>
        <w:t xml:space="preserve">ইহা কেবল একটি বিচ্ছিন্ন কাগজ নয়, বরং State Acquisition and Tenancy Act, 1950-এর বিধান মতে সরকারের চূড়ান্ত তদন্ত ও জরিপের ফল:</w:t>
      </w:r>
    </w:p>
    <w:p>
      <w:r>
        <w:rPr>
          <w:rFonts w:ascii="Kalpurush" w:cs="Kalpurush" w:eastAsia="Kalpurush" w:hAnsi="Kalpurush"/>
          <w:sz w:val="20"/>
          <w:szCs w:val="20"/>
        </w:rPr>
        <w:t xml:space="preserve">1. পূর্ববর্তী CS রেকর্ডে আব্দুল করিমের কোনো নাম নেই;</w:t>
      </w:r>
    </w:p>
    <w:p>
      <w:r>
        <w:rPr>
          <w:rFonts w:ascii="Kalpurush" w:cs="Kalpurush" w:eastAsia="Kalpurush" w:hAnsi="Kalpurush"/>
          <w:sz w:val="20"/>
          <w:szCs w:val="20"/>
        </w:rPr>
        <w:t xml:space="preserve">2. বিবাদীপক্ষ কোনো বৈধ pre-SA tenancy দলিল দাখিল করিতে পারে নাই;</w:t>
      </w:r>
    </w:p>
    <w:p>
      <w:r>
        <w:rPr>
          <w:rFonts w:ascii="Kalpurush" w:cs="Kalpurush" w:eastAsia="Kalpurush" w:hAnsi="Kalpurush"/>
          <w:sz w:val="20"/>
          <w:szCs w:val="20"/>
        </w:rPr>
        <w:t xml:space="preserve">3. রাষ্ট্রীয় অধিগ্রহণের পর SA ২৩৮ খতিয়ানে আব্দুল আলীর নাম একক রায়ত হিসেবে লিপিবদ্ধ হইয়াছে;</w:t>
      </w:r>
    </w:p>
    <w:p>
      <w:r>
        <w:rPr>
          <w:rFonts w:ascii="Kalpurush" w:cs="Kalpurush" w:eastAsia="Kalpurush" w:hAnsi="Kalpurush"/>
          <w:sz w:val="20"/>
          <w:szCs w:val="20"/>
        </w:rPr>
        <w:t xml:space="preserve">4. সেই রেকর্ড জেলা প্রশাসকের কেন্দ্রীয় রেকর্ড রুমে (DC Central Record Room) দীর্ঘ কয়েক দশক যাবৎ অবিকৃত ও অপরিবর্তিত রহিয়াছে;</w:t>
      </w:r>
    </w:p>
    <w:p>
      <w:r>
        <w:rPr>
          <w:rFonts w:ascii="Kalpurush" w:cs="Kalpurush" w:eastAsia="Kalpurush" w:hAnsi="Kalpurush"/>
          <w:sz w:val="20"/>
          <w:szCs w:val="20"/>
        </w:rPr>
        <w:t xml:space="preserve">5. পরবর্তী রেজিস্ট্রি দলিলও (১৯৫৭ সালের ২৩৯৮ নং দলিল) আব্দুল আলীর নামের সঙ্গে পূর্ণাঙ্গ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56 DLR (AD) 53 (*Government of Bangladesh vs. AKM Abdul Hye*)</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50 DLR (HD) 186 (*Dayal Chandra Mondal vs. Custodian*)</w:t>
      </w:r>
      <w:r>
        <w:rPr>
          <w:rFonts w:ascii="Kalpurush" w:cs="Kalpurush" w:eastAsia="Kalpurush" w:hAnsi="Kalpurush"/>
          <w:sz w:val="20"/>
          <w:szCs w:val="20"/>
        </w:rPr>
        <w:t xml:space="preserve"> মামলায় চূড়ান্তভাবে স্থির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[56 DLR (AD) 53]:</w:t>
      </w:r>
      <w:r>
        <w:rPr>
          <w:rFonts w:ascii="Kalpurush" w:cs="Kalpurush" w:eastAsia="Kalpurush" w:hAnsi="Kalpurush"/>
          <w:i/>
          <w:iCs/>
          <w:sz w:val="20"/>
          <w:szCs w:val="20"/>
        </w:rPr>
        <w:t xml:space="preserve"> *"Finally published Record of Rights (SA/RS) carries a statutory presumption of correctness under Section 144/144A of the SAT Act and Section 114 illustration (e) of the Evidence Act, which stands unimpeachable until rebutted by strict, cogent and conclusive evidence of title."*</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[50 DLR (HD) 186]:</w:t>
      </w:r>
      <w:r>
        <w:rPr>
          <w:rFonts w:ascii="Kalpurush" w:cs="Kalpurush" w:eastAsia="Kalpurush" w:hAnsi="Kalpurush"/>
          <w:i/>
          <w:iCs/>
          <w:sz w:val="20"/>
          <w:szCs w:val="20"/>
        </w:rPr>
        <w:t xml:space="preserve"> *"Record of Rights finally published under the State Acquisition and Tenancy Act stands valid with full legal presumption until displaced by genuine contrary title documents."*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SA ২৩৮ খতিয়ানের এই সংবিধিবদ্ধ presumption অক্ষুণ্ণ থাকা সত্ত্বেও বিজ্ঞ ট্রায়াল কোর্ট তাহা খারিজ করিয়া বিচারিক নীতি লঙ্ঘন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 SA record-এর presumption ভাঙার দায় কার? Evidence Act-এর ১০১, ১০২ ও ১০৩ ধারার সঠিক প্রয়োগ</w:t>
      </w:r>
    </w:p>
    <w:p>
      <w:r>
        <w:rPr>
          <w:rFonts w:ascii="Kalpurush" w:cs="Kalpurush" w:eastAsia="Kalpurush" w:hAnsi="Kalpurush"/>
        </w:rPr>
        <w:t xml:space="preserve"/>
      </w:r>
    </w:p>
    <w:p>
      <w:r>
        <w:rPr>
          <w:rFonts w:ascii="Kalpurush" w:cs="Kalpurush" w:eastAsia="Kalpurush" w:hAnsi="Kalpurush"/>
          <w:sz w:val="20"/>
          <w:szCs w:val="20"/>
        </w:rPr>
        <w:t xml:space="preserve">এই স্থানটিই এই আপীলের কেন্দ্রীয় বিচারিক বিষয় (Central Legal Issue)।</w:t>
      </w:r>
    </w:p>
    <w:p>
      <w:r>
        <w:rPr>
          <w:rFonts w:ascii="Kalpurush" w:cs="Kalpurush" w:eastAsia="Kalpurush" w:hAnsi="Kalpurush"/>
        </w:rPr>
        <w:t xml:space="preserve"/>
      </w:r>
    </w:p>
    <w:p>
      <w:r>
        <w:rPr>
          <w:rFonts w:ascii="Kalpurush" w:cs="Kalpurush" w:eastAsia="Kalpurush" w:hAnsi="Kalpurush"/>
          <w:sz w:val="20"/>
          <w:szCs w:val="20"/>
        </w:rPr>
        <w:t xml:space="preserve">চূড়ান্ত প্রকাশিত SA ২৩৮ খতিয়ানের statutory presumption বিদ্যমান থাকা অবস্থায়, যে পক্ষ দাবি করে যে উক্ত রেকর্ড ভুল ছিল এবং পরবর্তীতে সংশোধিত হইয়াছিল—সেই বিশেষ ঘটনা (particular corrective event) প্রমাণের সম্পূর্ণ দায়ভার সেই চ্যালেঞ্জকারী বিবাদীপক্ষের।</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26 BLC (AD) 78 (*Tapash Kanti Majumder vs. Sailandra Kumar Majumder*)</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45 DLR (AD) 124 (*Nuruddin Ahmed vs. Md. Jaman*)</w:t>
      </w:r>
      <w:r>
        <w:rPr>
          <w:rFonts w:ascii="Kalpurush" w:cs="Kalpurush" w:eastAsia="Kalpurush" w:hAnsi="Kalpurush"/>
          <w:sz w:val="20"/>
          <w:szCs w:val="20"/>
        </w:rPr>
        <w:t xml:space="preserve"> মামলায় দ্ব্যর্থহীনভাবে ঘোষণা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[26 BLC (AD) 78]:</w:t>
      </w:r>
      <w:r>
        <w:rPr>
          <w:rFonts w:ascii="Kalpurush" w:cs="Kalpurush" w:eastAsia="Kalpurush" w:hAnsi="Kalpurush"/>
          <w:i/>
          <w:iCs/>
          <w:sz w:val="20"/>
          <w:szCs w:val="20"/>
        </w:rPr>
        <w:t xml:space="preserve"> *"Under Section 103 of the Evidence Act, the burden of proof as to any particular fact lies on that person who wishes the Court to believe in its existence. When a defendant sets up a plea of subsequent modification or correction of a record-of-rights, the burden of proving such proceeding is entirely upon him."*</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[45 DLR (AD) 124]:</w:t>
      </w:r>
      <w:r>
        <w:rPr>
          <w:rFonts w:ascii="Kalpurush" w:cs="Kalpurush" w:eastAsia="Kalpurush" w:hAnsi="Kalpurush"/>
          <w:i/>
          <w:iCs/>
          <w:sz w:val="20"/>
          <w:szCs w:val="20"/>
        </w:rPr>
        <w:t xml:space="preserve"> *"A trial court commits grave illegality when it confuses the initial burden of the plaintiff with requiring the plaintiff to disprove every counter-assertion or ghost proceeding raised by the defense."*</w:t>
      </w:r>
    </w:p>
    <w:p>
      <w:r>
        <w:rPr>
          <w:rFonts w:ascii="Kalpurush" w:cs="Kalpurush" w:eastAsia="Kalpurush" w:hAnsi="Kalpurush"/>
        </w:rPr>
        <w:t xml:space="preserve"/>
      </w:r>
    </w:p>
    <w:p>
      <w:r>
        <w:rPr>
          <w:rFonts w:ascii="Kalpurush" w:cs="Kalpurush" w:eastAsia="Kalpurush" w:hAnsi="Kalpurush"/>
          <w:sz w:val="20"/>
          <w:szCs w:val="20"/>
        </w:rPr>
        <w:t xml:space="preserve">এখানে বিবাদীপক্ষকে দুটি স্বাধীন বিষয় প্রমাণ করিতে হইত:</w:t>
      </w:r>
    </w:p>
    <w:p>
      <w:pPr>
        <w:pStyle w:val="ListParagraph"/>
        <w:numPr>
          <w:ilvl w:val="0"/>
          <w:numId w:val="1"/>
        </w:numPr>
      </w:pPr>
      <w:r>
        <w:rPr>
          <w:rFonts w:ascii="Kalpurush" w:cs="Kalpurush" w:eastAsia="Kalpurush" w:hAnsi="Kalpurush"/>
          <w:b/>
          <w:bCs/>
          <w:sz w:val="20"/>
          <w:szCs w:val="20"/>
        </w:rPr>
        <w:t xml:space="preserve">প্রথমত:</w:t>
      </w:r>
      <w:r>
        <w:rPr>
          <w:rFonts w:ascii="Kalpurush" w:cs="Kalpurush" w:eastAsia="Kalpurush" w:hAnsi="Kalpurush"/>
          <w:sz w:val="20"/>
          <w:szCs w:val="20"/>
        </w:rPr>
        <w:t xml:space="preserve"> মূল SA রেকর্ড কেন ও কীভাবে ভুল ছিল;</w:t>
      </w:r>
    </w:p>
    <w:p>
      <w:pPr>
        <w:pStyle w:val="ListParagraph"/>
        <w:numPr>
          <w:ilvl w:val="0"/>
          <w:numId w:val="1"/>
        </w:numPr>
      </w:pPr>
      <w:r>
        <w:rPr>
          <w:rFonts w:ascii="Kalpurush" w:cs="Kalpurush" w:eastAsia="Kalpurush" w:hAnsi="Kalpurush"/>
          <w:b/>
          <w:bCs/>
          <w:sz w:val="20"/>
          <w:szCs w:val="20"/>
        </w:rPr>
        <w:t xml:space="preserve">দ্বিতীয়ত:</w:t>
      </w:r>
      <w:r>
        <w:rPr>
          <w:rFonts w:ascii="Kalpurush" w:cs="Kalpurush" w:eastAsia="Kalpurush" w:hAnsi="Kalpurush"/>
          <w:sz w:val="20"/>
          <w:szCs w:val="20"/>
        </w:rPr>
        <w:t xml:space="preserve"> কোন বৈধ ও এখতিয়ারসম্পন্ন আদালতের বিচারিক রায়ে সেই ভুল সংশোধিত হইয়াছিল।</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বিবাদীদের উপর এই প্রমাণভার অর্পণ না করিয়া উল্টো বাদীদেরকে “সংশোধন যে হয় নাই তাহা প্রমাণ করিতে” বলিয়া Evidence Act-এর ১০১-১০৩ ধারার স্পষ্ট লংঘন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বিজ্ঞ ট্রায়াল কোর্টের এই reasoning সম্পূর্ণ আইনভ্রষ্ট ও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 ১৯৬৯ সালের কথিত Misc Case 1181—মূল নথি, আদেশনামা বা ডিক্রি অনুপস্থিত থাকা মারাত্মক evidentiary gap</w:t>
      </w:r>
    </w:p>
    <w:p>
      <w:r>
        <w:rPr>
          <w:rFonts w:ascii="Kalpurush" w:cs="Kalpurush" w:eastAsia="Kalpurush" w:hAnsi="Kalpurush"/>
        </w:rPr>
        <w:t xml:space="preserve"/>
      </w:r>
    </w:p>
    <w:p>
      <w:r>
        <w:rPr>
          <w:rFonts w:ascii="Kalpurush" w:cs="Kalpurush" w:eastAsia="Kalpurush" w:hAnsi="Kalpurush"/>
          <w:sz w:val="20"/>
          <w:szCs w:val="20"/>
        </w:rPr>
        <w:t xml:space="preserve">বিবাদীপক্ষের পুরো দাবি ও সংশোধনের ভিত্তি হলো কথিত “Misc Case No. 1181 of 1969”।</w:t>
      </w:r>
    </w:p>
    <w:p>
      <w:r>
        <w:rPr>
          <w:rFonts w:ascii="Kalpurush" w:cs="Kalpurush" w:eastAsia="Kalpurush" w:hAnsi="Kalpurush"/>
        </w:rPr>
        <w:t xml:space="preserve"/>
      </w:r>
    </w:p>
    <w:p>
      <w:r>
        <w:rPr>
          <w:rFonts w:ascii="Kalpurush" w:cs="Kalpurush" w:eastAsia="Kalpurush" w:hAnsi="Kalpurush"/>
          <w:sz w:val="20"/>
          <w:szCs w:val="20"/>
        </w:rPr>
        <w:t xml:space="preserve">কিন্তু মামলার নথিতে উক্ত কথিত মামলার—</w:t>
      </w:r>
    </w:p>
    <w:p>
      <w:pPr>
        <w:pStyle w:val="ListParagraph"/>
        <w:numPr>
          <w:ilvl w:val="0"/>
          <w:numId w:val="1"/>
        </w:numPr>
      </w:pPr>
      <w:r>
        <w:rPr>
          <w:rFonts w:ascii="Kalpurush" w:cs="Kalpurush" w:eastAsia="Kalpurush" w:hAnsi="Kalpurush"/>
          <w:sz w:val="20"/>
          <w:szCs w:val="20"/>
        </w:rPr>
        <w:t xml:space="preserve">কোনো দরখাস্ত (Application/Plaint);</w:t>
      </w:r>
    </w:p>
    <w:p>
      <w:pPr>
        <w:pStyle w:val="ListParagraph"/>
        <w:numPr>
          <w:ilvl w:val="0"/>
          <w:numId w:val="1"/>
        </w:numPr>
      </w:pPr>
      <w:r>
        <w:rPr>
          <w:rFonts w:ascii="Kalpurush" w:cs="Kalpurush" w:eastAsia="Kalpurush" w:hAnsi="Kalpurush"/>
          <w:sz w:val="20"/>
          <w:szCs w:val="20"/>
        </w:rPr>
        <w:t xml:space="preserve">কোনো মূল আদেশনামা (Order Sheet);</w:t>
      </w:r>
    </w:p>
    <w:p>
      <w:pPr>
        <w:pStyle w:val="ListParagraph"/>
        <w:numPr>
          <w:ilvl w:val="0"/>
          <w:numId w:val="1"/>
        </w:numPr>
      </w:pPr>
      <w:r>
        <w:rPr>
          <w:rFonts w:ascii="Kalpurush" w:cs="Kalpurush" w:eastAsia="Kalpurush" w:hAnsi="Kalpurush"/>
          <w:sz w:val="20"/>
          <w:szCs w:val="20"/>
        </w:rPr>
        <w:t xml:space="preserve">কোনো রায় (Judgment);</w:t>
      </w:r>
    </w:p>
    <w:p>
      <w:pPr>
        <w:pStyle w:val="ListParagraph"/>
        <w:numPr>
          <w:ilvl w:val="0"/>
          <w:numId w:val="1"/>
        </w:numPr>
      </w:pPr>
      <w:r>
        <w:rPr>
          <w:rFonts w:ascii="Kalpurush" w:cs="Kalpurush" w:eastAsia="Kalpurush" w:hAnsi="Kalpurush"/>
          <w:sz w:val="20"/>
          <w:szCs w:val="20"/>
        </w:rPr>
        <w:t xml:space="preserve">কোনো রেজিস্ট্রি সিলযুক্ত সহি-মোহরর নকল (Certified Copy);</w:t>
      </w:r>
    </w:p>
    <w:p>
      <w:pPr>
        <w:pStyle w:val="ListParagraph"/>
        <w:numPr>
          <w:ilvl w:val="0"/>
          <w:numId w:val="1"/>
        </w:numPr>
      </w:pPr>
      <w:r>
        <w:rPr>
          <w:rFonts w:ascii="Kalpurush" w:cs="Kalpurush" w:eastAsia="Kalpurush" w:hAnsi="Kalpurush"/>
          <w:sz w:val="20"/>
          <w:szCs w:val="20"/>
        </w:rPr>
        <w:t xml:space="preserve">সংশ্লিষ্ট মিস কেসের মূল নথি (Record File);</w:t>
      </w:r>
    </w:p>
    <w:p>
      <w:pPr>
        <w:pStyle w:val="ListParagraph"/>
        <w:numPr>
          <w:ilvl w:val="0"/>
          <w:numId w:val="1"/>
        </w:numPr>
      </w:pPr>
      <w:r>
        <w:rPr>
          <w:rFonts w:ascii="Kalpurush" w:cs="Kalpurush" w:eastAsia="Kalpurush" w:hAnsi="Kalpurush"/>
          <w:sz w:val="20"/>
          <w:szCs w:val="20"/>
        </w:rPr>
        <w:t xml:space="preserve">কোনো সমন বা নোটিশ জারির প্রমাণ (Service of Notice);</w:t>
      </w:r>
    </w:p>
    <w:p>
      <w:pPr>
        <w:pStyle w:val="ListParagraph"/>
        <w:numPr>
          <w:ilvl w:val="0"/>
          <w:numId w:val="1"/>
        </w:numPr>
      </w:pPr>
      <w:r>
        <w:rPr>
          <w:rFonts w:ascii="Kalpurush" w:cs="Kalpurush" w:eastAsia="Kalpurush" w:hAnsi="Kalpurush"/>
          <w:sz w:val="20"/>
          <w:szCs w:val="20"/>
        </w:rPr>
        <w:t xml:space="preserve">কিংবা কোনো চূড়ান্ত ডিক্রি—</w:t>
      </w:r>
      <w:r>
        <w:rPr>
          <w:rFonts w:ascii="Kalpurush" w:cs="Kalpurush" w:eastAsia="Kalpurush" w:hAnsi="Kalpurush"/>
          <w:b/>
          <w:bCs/>
          <w:sz w:val="20"/>
          <w:szCs w:val="20"/>
        </w:rPr>
        <w:t xml:space="preserve">আদালতে দাখিল করা হয় নাই।</w:t>
      </w:r>
    </w:p>
    <w:p>
      <w:r>
        <w:rPr>
          <w:rFonts w:ascii="Kalpurush" w:cs="Kalpurush" w:eastAsia="Kalpurush" w:hAnsi="Kalpurush"/>
        </w:rPr>
        <w:t xml:space="preserve"/>
      </w:r>
    </w:p>
    <w:p>
      <w:r>
        <w:rPr>
          <w:rFonts w:ascii="Kalpurush" w:cs="Kalpurush" w:eastAsia="Kalpurush" w:hAnsi="Kalpurush"/>
          <w:sz w:val="20"/>
          <w:szCs w:val="20"/>
        </w:rPr>
        <w:t xml:space="preserve">একটি সহকারী জজ আদালত কেবল একটি ভলিউমে পেনসিল বা ভিন্ন কালির হস্তলিপি দেখিয়া বিচারিক আদেশের অস্তিত্ব অনুমান করিতে পারেন না। Consequential entry কখনো Parent judicial proceeding-এর বিকল্প হইতে পারে না।</w:t>
      </w:r>
    </w:p>
    <w:p>
      <w:r>
        <w:rPr>
          <w:rFonts w:ascii="Kalpurush" w:cs="Kalpurush" w:eastAsia="Kalpurush" w:hAnsi="Kalpurush"/>
        </w:rPr>
        <w:t xml:space="preserve"/>
      </w:r>
    </w:p>
    <w:p>
      <w:r>
        <w:rPr>
          <w:rFonts w:ascii="Kalpurush" w:cs="Kalpurush" w:eastAsia="Kalpurush" w:hAnsi="Kalpurush"/>
          <w:sz w:val="20"/>
          <w:szCs w:val="20"/>
        </w:rPr>
        <w:t xml:space="preserve">যুক্তির স্বাভাবিক ও বিধিবদ্ধ রূপ:</w:t>
      </w:r>
    </w:p>
    <w:p>
      <w:r>
        <w:rPr>
          <w:rFonts w:ascii="Kalpurush" w:cs="Kalpurush" w:eastAsia="Kalpurush" w:hAnsi="Kalpurush"/>
          <w:sz w:val="20"/>
          <w:szCs w:val="20"/>
        </w:rPr>
        <w:t xml:space="preserve">$$\text{Parent Proceeding} \longrightarrow \text{Lawful Notice} \longrightarrow \text{Valid Judicial Order} \longrightarrow \text{Lawful Implementation}$$</w:t>
      </w:r>
    </w:p>
    <w:p>
      <w:r>
        <w:rPr>
          <w:rFonts w:ascii="Kalpurush" w:cs="Kalpurush" w:eastAsia="Kalpurush" w:hAnsi="Kalpurush"/>
        </w:rPr>
        <w:t xml:space="preserve"/>
      </w:r>
    </w:p>
    <w:p>
      <w:r>
        <w:rPr>
          <w:rFonts w:ascii="Kalpurush" w:cs="Kalpurush" w:eastAsia="Kalpurush" w:hAnsi="Kalpurush"/>
          <w:sz w:val="20"/>
          <w:szCs w:val="20"/>
        </w:rPr>
        <w:t xml:space="preserve">এখানে Parent proceeding সম্পূর্ণ অনুপস্থিত। অতএব consequential entry ভিত্তিহীন ও মূল্যহীন।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বিজ্ঞ ট্রায়াল কোর্ট অস্তিত্বহীন একটি ভূতুড়ে মিস কেসের উপর ভিত্তি করিয়া রায় প্রদান করিয়া গুরুতর অন্যায়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৭. “Misc Case-এ order হয়েছিল” বনাম “Title আইনগতভাবে adjudicate হয়েছিল”—রেভিনিউ অফিসারের এখতিয়ারহীনতা</w:t>
      </w:r>
    </w:p>
    <w:p>
      <w:r>
        <w:rPr>
          <w:rFonts w:ascii="Kalpurush" w:cs="Kalpurush" w:eastAsia="Kalpurush" w:hAnsi="Kalpurush"/>
        </w:rPr>
        <w:t xml:space="preserve"/>
      </w:r>
    </w:p>
    <w:p>
      <w:r>
        <w:rPr>
          <w:rFonts w:ascii="Kalpurush" w:cs="Kalpurush" w:eastAsia="Kalpurush" w:hAnsi="Kalpurush"/>
          <w:sz w:val="20"/>
          <w:szCs w:val="20"/>
        </w:rPr>
        <w:t xml:space="preserve">এখানে দেওয়ানি কার্যবিধি ও ভূমি আইনের একটি সূক্ষ্ম অথচ অকাট্য পার্থক্য বিদ্যমান।</w:t>
      </w:r>
    </w:p>
    <w:p>
      <w:r>
        <w:rPr>
          <w:rFonts w:ascii="Kalpurush" w:cs="Kalpurush" w:eastAsia="Kalpurush" w:hAnsi="Kalpurush"/>
        </w:rPr>
        <w:t xml:space="preserve"/>
      </w:r>
    </w:p>
    <w:p>
      <w:r>
        <w:rPr>
          <w:rFonts w:ascii="Kalpurush" w:cs="Kalpurush" w:eastAsia="Kalpurush" w:hAnsi="Kalpurush"/>
          <w:sz w:val="20"/>
          <w:szCs w:val="20"/>
        </w:rPr>
        <w:t xml:space="preserve">তর্কের খাতিরে যদি ধরেও নেওয়া হয় যে ১৯৬৯ সালে কোনো একটি প্রশাসনিক বা রাজস্ব মিস কেস হইয়াছিল, তবুও আদালতকে দেখিতে হইবে:</w:t>
      </w:r>
    </w:p>
    <w:p>
      <w:pPr>
        <w:ind w:left="720"/>
      </w:pPr>
      <w:r>
        <w:rPr>
          <w:rFonts w:ascii="Kalpurush" w:cs="Kalpurush" w:eastAsia="Kalpurush" w:hAnsi="Kalpurush"/>
          <w:b/>
          <w:bCs/>
          <w:i/>
          <w:iCs/>
          <w:sz w:val="20"/>
          <w:szCs w:val="20"/>
        </w:rPr>
        <w:t xml:space="preserve">উক্ত proceeding-এর প্রকৃতি কী ছিল এবং সেই ফোরামের স্বত্ব নির্ধারণ (Adjudication of Title) করার কোনো আইনগত এখতিয়ার (Jurisdiction) ছিল কি না?</w:t>
      </w:r>
    </w:p>
    <w:p>
      <w:r>
        <w:rPr>
          <w:rFonts w:ascii="Kalpurush" w:cs="Kalpurush" w:eastAsia="Kalpurush" w:hAnsi="Kalpurush"/>
        </w:rPr>
        <w:t xml:space="preserve"/>
      </w:r>
    </w:p>
    <w:p>
      <w:r>
        <w:rPr>
          <w:rFonts w:ascii="Kalpurush" w:cs="Kalpurush" w:eastAsia="Kalpurush" w:hAnsi="Kalpurush"/>
          <w:sz w:val="20"/>
          <w:szCs w:val="20"/>
        </w:rPr>
        <w:t xml:space="preserve">দেওয়ানি কার্যবিধির ২(১৪) ধারা অনুযায়ী একটি মিস কেসে কেবলমাত্র একটি 'আদেশ' (Order) হইতে পারে, কোনো 'ডিক্রি' (Decree under Section 2(2) CPC) হইতে পারে না। স্বত্ব ঘোষণার ডিক্রি ব্যতীত চূড়ান্তভাবে প্রকাশিত স্বত্বলিপি রদবদল করা যায় না।</w:t>
      </w:r>
    </w:p>
    <w:p>
      <w:r>
        <w:rPr>
          <w:rFonts w:ascii="Kalpurush" w:cs="Kalpurush" w:eastAsia="Kalpurush" w:hAnsi="Kalpurush"/>
        </w:rPr>
        <w:t xml:space="preserve"/>
      </w:r>
    </w:p>
    <w:p>
      <w:r>
        <w:rPr>
          <w:rFonts w:ascii="Kalpurush" w:cs="Kalpurush" w:eastAsia="Kalpurush" w:hAnsi="Kalpurush"/>
          <w:sz w:val="20"/>
          <w:szCs w:val="20"/>
        </w:rPr>
        <w:t xml:space="preserve">মহামান্য হাইকোর্ট ডিভিশন </w:t>
      </w:r>
      <w:r>
        <w:rPr>
          <w:rFonts w:ascii="Kalpurush" w:cs="Kalpurush" w:eastAsia="Kalpurush" w:hAnsi="Kalpurush"/>
          <w:b/>
          <w:bCs/>
          <w:sz w:val="20"/>
          <w:szCs w:val="20"/>
        </w:rPr>
        <w:t xml:space="preserve">18 BLC (HD) 235 (*Aslam vs. Salauddin*)</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মামলায় সিদ্ধান্ত দিয়াছেন: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[18 BLC (HD) 235]:</w:t>
      </w:r>
      <w:r>
        <w:rPr>
          <w:rFonts w:ascii="Kalpurush" w:cs="Kalpurush" w:eastAsia="Kalpurush" w:hAnsi="Kalpurush"/>
          <w:i/>
          <w:iCs/>
          <w:sz w:val="20"/>
          <w:szCs w:val="20"/>
        </w:rPr>
        <w:t xml:space="preserve"> *"A Revenue Officer exercising powers under Section 143 of the State Acquisition and Tenancy Act is not a Civil Court. He has no jurisdiction to decide disputed and complicated questions of title between private parties."*</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[27 BLD 544]:</w:t>
      </w:r>
      <w:r>
        <w:rPr>
          <w:rFonts w:ascii="Kalpurush" w:cs="Kalpurush" w:eastAsia="Kalpurush" w:hAnsi="Kalpurush"/>
          <w:i/>
          <w:iCs/>
          <w:sz w:val="20"/>
          <w:szCs w:val="20"/>
        </w:rPr>
        <w:t xml:space="preserve"> *"Revenue officer has no jurisdiction to decide the question of title. Any entry made by a revenue officer deciding title is ultra vires and void."*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রেভিনিউ অফিসার বা মিস কেসের মাধ্যমে আব্দুল আলীর চূড়ান্ত রায়তি স্বত্ব খর্ব করিয়া অন্যকে স্বত্ববান করার দাবি আইনত অচল ও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৮. কথিত সংশোধনের প্রকৃতি: সাবস্ট্যান্টিভ স্বার্থ পরিবর্তন নিছক clerical নয়—নোটিশ ও তদন্তহীন একতরফা আদেশ Void ab initio</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যদি কোনো ভলিউমে একটি নামের সামান্য বানান ভুল সংশোধন করা হইত, তবে তাহাকে clerical correction বলা যাইতে পারিত। কিন্তু এখানে কথিত সংশোধনের ফল হলো—</w:t>
      </w:r>
    </w:p>
    <w:p>
      <w:pPr>
        <w:ind w:left="720"/>
      </w:pPr>
      <w:r>
        <w:rPr>
          <w:rFonts w:ascii="Kalpurush" w:cs="Kalpurush" w:eastAsia="Kalpurush" w:hAnsi="Kalpurush"/>
          <w:i/>
          <w:iCs/>
          <w:sz w:val="20"/>
          <w:szCs w:val="20"/>
        </w:rPr>
        <w:t xml:space="preserve">একজন চূড়ান্তভাবে রেকর্ডভুক্ত রায়তের (আব্দুল আলী) সম্পূর্ণ স্বত্ব ও জোত বিনষ্ট করিয়া সম্পূর্ণ ভিন্ন একজন ব্যক্তির (সোনাভানু) নামে স্বত্ব সৃষ্টি করা!</w:t>
      </w:r>
    </w:p>
    <w:p>
      <w:r>
        <w:rPr>
          <w:rFonts w:ascii="Kalpurush" w:cs="Kalpurush" w:eastAsia="Kalpurush" w:hAnsi="Kalpurush"/>
        </w:rPr>
        <w:t xml:space="preserve"/>
      </w:r>
    </w:p>
    <w:p>
      <w:r>
        <w:rPr>
          <w:rFonts w:ascii="Kalpurush" w:cs="Kalpurush" w:eastAsia="Kalpurush" w:hAnsi="Kalpurush"/>
          <w:sz w:val="20"/>
          <w:szCs w:val="20"/>
        </w:rPr>
        <w:t xml:space="preserve">ইহা নিছক করণিক সংশোধন নয়; ইহা substantive property right-এর ওপর চরম আঘাত।</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এবং হাইকোর্ট ডিভিশন </w:t>
      </w:r>
      <w:r>
        <w:rPr>
          <w:rFonts w:ascii="Kalpurush" w:cs="Kalpurush" w:eastAsia="Kalpurush" w:hAnsi="Kalpurush"/>
          <w:b/>
          <w:bCs/>
          <w:sz w:val="20"/>
          <w:szCs w:val="20"/>
        </w:rPr>
        <w:t xml:space="preserve">4 BLC (HD) 438 (*Osmanullah vs. Faizullah*)</w:t>
      </w:r>
      <w:r>
        <w:rPr>
          <w:rFonts w:ascii="Kalpurush" w:cs="Kalpurush" w:eastAsia="Kalpurush" w:hAnsi="Kalpurush"/>
          <w:sz w:val="20"/>
          <w:szCs w:val="20"/>
        </w:rPr>
        <w:t xml:space="preserve">, </w:t>
      </w:r>
      <w:r>
        <w:rPr>
          <w:rFonts w:ascii="Kalpurush" w:cs="Kalpurush" w:eastAsia="Kalpurush" w:hAnsi="Kalpurush"/>
          <w:b/>
          <w:bCs/>
          <w:sz w:val="20"/>
          <w:szCs w:val="20"/>
        </w:rPr>
        <w:t xml:space="preserve">36 DLR (AD) 79 (*Assistant Custodian vs. Bholanath Guha*)</w:t>
      </w:r>
      <w:r>
        <w:rPr>
          <w:rFonts w:ascii="Kalpurush" w:cs="Kalpurush" w:eastAsia="Kalpurush" w:hAnsi="Kalpurush"/>
          <w:sz w:val="20"/>
          <w:szCs w:val="20"/>
        </w:rPr>
        <w:t xml:space="preserve">, </w:t>
      </w: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29 BLC 160</w:t>
      </w:r>
      <w:r>
        <w:rPr>
          <w:rFonts w:ascii="Kalpurush" w:cs="Kalpurush" w:eastAsia="Kalpurush" w:hAnsi="Kalpurush"/>
          <w:sz w:val="20"/>
          <w:szCs w:val="20"/>
        </w:rPr>
        <w:t xml:space="preserve"> মামলায় পরিষ্কার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[4 BLC (HD) 438]:</w:t>
      </w:r>
      <w:r>
        <w:rPr>
          <w:rFonts w:ascii="Kalpurush" w:cs="Kalpurush" w:eastAsia="Kalpurush" w:hAnsi="Kalpurush"/>
          <w:i/>
          <w:iCs/>
          <w:sz w:val="20"/>
          <w:szCs w:val="20"/>
        </w:rPr>
        <w:t xml:space="preserve"> *"Any alteration, modification or correction in the finally published record-of-rights under Section 143/143A of the SAT Act made ex-parte, without issuance of statutory notice to the recorded tenant and without holding judicial inquiry, is a complete nullity and void ab initio."*</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[36 DLR (AD) 79]:</w:t>
      </w:r>
      <w:r>
        <w:rPr>
          <w:rFonts w:ascii="Kalpurush" w:cs="Kalpurush" w:eastAsia="Kalpurush" w:hAnsi="Kalpurush"/>
          <w:i/>
          <w:iCs/>
          <w:sz w:val="20"/>
          <w:szCs w:val="20"/>
        </w:rPr>
        <w:t xml:space="preserve"> *"Correction of record of rights without notice to the affected interested parties is violative of the principles of natural justice and devoid of any legal effect."*</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[53 DLR (HD) 19]:</w:t>
      </w:r>
      <w:r>
        <w:rPr>
          <w:rFonts w:ascii="Kalpurush" w:cs="Kalpurush" w:eastAsia="Kalpurush" w:hAnsi="Kalpurush"/>
          <w:i/>
          <w:iCs/>
          <w:sz w:val="20"/>
          <w:szCs w:val="20"/>
        </w:rPr>
        <w:t xml:space="preserve"> *"Mutation does not confer any title, nor does its cancellation extinguish any title. If an order of mutation or correction is passed without jurisdiction or legal basis, such order is a nullity in the eye of law."*</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[29 BLC 160]:</w:t>
      </w:r>
      <w:r>
        <w:rPr>
          <w:rFonts w:ascii="Kalpurush" w:cs="Kalpurush" w:eastAsia="Kalpurush" w:hAnsi="Kalpurush"/>
          <w:i/>
          <w:iCs/>
          <w:sz w:val="20"/>
          <w:szCs w:val="20"/>
        </w:rPr>
        <w:t xml:space="preserve"> *"Correction of record of rights does not create any title in favour of a person in whose name the record of rights is corrected."*</w:t>
      </w:r>
    </w:p>
    <w:p>
      <w:r>
        <w:rPr>
          <w:rFonts w:ascii="Kalpurush" w:cs="Kalpurush" w:eastAsia="Kalpurush" w:hAnsi="Kalpurush"/>
        </w:rPr>
        <w:t xml:space="preserve"/>
      </w:r>
    </w:p>
    <w:p>
      <w:r>
        <w:rPr>
          <w:rFonts w:ascii="Kalpurush" w:cs="Kalpurush" w:eastAsia="Kalpurush" w:hAnsi="Kalpurush"/>
          <w:sz w:val="20"/>
          <w:szCs w:val="20"/>
        </w:rPr>
        <w:t xml:space="preserve">রেকর্ডভুক্ত রায়ত আব্দুল আলীকে কোনো নোটিশ না দিয়া, কোনো প্রকাশ্য বিচারিক তদন্ত না করিয়া একতরফাভাবে ভলিউমে নাম অন্তর্ভুক্ত করা হইলে তাহা আইনের দৃষ্টিতে শূন্য ও অস্তিত্বহীন (Void ab initio)।</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বিজ্ঞ ট্রায়াল কোর্ট এই শূন্য ও এখতিয়ারবিহীন পরিবর্তনকে কার্যকর গণ্য করিয়া মারাত্মক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৯. জেলা রেকর্ড রুমের মূল রেকর্ড বনাম এসিল্যান্ড অফিসের ভলিউমে পৃথক কালির ঘষামাজা</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জেলা প্রশাসকের কেন্দ্রীয় রেকর্ড রুম (DC Central Record Room) হইতে ইস্যুকৃত মূল খতিয়ান এবং সখিপুর এসিল্যান্ড অফিসের মাঠ ভলিউমকে এক পাল্লায় মাপিয়া মারাত্মক ভুল করিয়াছেন।</w:t>
      </w:r>
    </w:p>
    <w:p>
      <w:r>
        <w:rPr>
          <w:rFonts w:ascii="Kalpurush" w:cs="Kalpurush" w:eastAsia="Kalpurush" w:hAnsi="Kalpurush"/>
        </w:rPr>
        <w:t xml:space="preserve"/>
      </w:r>
    </w:p>
    <w:p>
      <w:r>
        <w:rPr>
          <w:rFonts w:ascii="Kalpurush" w:cs="Kalpurush" w:eastAsia="Kalpurush" w:hAnsi="Kalpurush"/>
          <w:sz w:val="20"/>
          <w:szCs w:val="20"/>
        </w:rPr>
        <w:t xml:space="preserve">আইনগত অবস্থান:</w:t>
      </w:r>
    </w:p>
    <w:p>
      <w:pPr>
        <w:pStyle w:val="ListParagraph"/>
        <w:numPr>
          <w:ilvl w:val="0"/>
          <w:numId w:val="1"/>
        </w:numPr>
      </w:pPr>
      <w:r>
        <w:rPr>
          <w:rFonts w:ascii="Kalpurush" w:cs="Kalpurush" w:eastAsia="Kalpurush" w:hAnsi="Kalpurush"/>
          <w:sz w:val="20"/>
          <w:szCs w:val="20"/>
        </w:rPr>
        <w:t xml:space="preserve">জেলা প্রশাসকের রেকর্ড রুম হলো সংবিধিবদ্ধভাবে চূড়ান্ত প্রকাশিত মূল নথির একমাত্র প্রধান ও নিরাপদ সংরক্ষণাগার (Statutory Custodian);</w:t>
      </w:r>
    </w:p>
    <w:p>
      <w:pPr>
        <w:pStyle w:val="ListParagraph"/>
        <w:numPr>
          <w:ilvl w:val="0"/>
          <w:numId w:val="1"/>
        </w:numPr>
      </w:pPr>
      <w:r>
        <w:rPr>
          <w:rFonts w:ascii="Kalpurush" w:cs="Kalpurush" w:eastAsia="Kalpurush" w:hAnsi="Kalpurush"/>
          <w:sz w:val="20"/>
          <w:szCs w:val="20"/>
        </w:rPr>
        <w:t xml:space="preserve">এসিল্যান্ড বা তহসিল অফিসের ভলিউম হলো নিছক খাজনা আদায়ের সহায়ক কার্যকারী অনুলিপি (Subsidiary Working Copy)।</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71 DLR (AD) 327 / 66 DLR (AD) 215 (*Ayub Hossain Khan vs. Bangladesh*)</w:t>
      </w:r>
      <w:r>
        <w:rPr>
          <w:rFonts w:ascii="Kalpurush" w:cs="Kalpurush" w:eastAsia="Kalpurush" w:hAnsi="Kalpurush"/>
          <w:sz w:val="20"/>
          <w:szCs w:val="20"/>
        </w:rPr>
        <w:t xml:space="preserve"> এবং হাইকোর্ট ডিভিশন </w:t>
      </w:r>
      <w:r>
        <w:rPr>
          <w:rFonts w:ascii="Kalpurush" w:cs="Kalpurush" w:eastAsia="Kalpurush" w:hAnsi="Kalpurush"/>
          <w:b/>
          <w:bCs/>
          <w:sz w:val="20"/>
          <w:szCs w:val="20"/>
        </w:rPr>
        <w:t xml:space="preserve">1 BLT (HD) 18 (*Fazlur Rahman vs. Bangladesh*)</w:t>
      </w:r>
      <w:r>
        <w:rPr>
          <w:rFonts w:ascii="Kalpurush" w:cs="Kalpurush" w:eastAsia="Kalpurush" w:hAnsi="Kalpurush"/>
          <w:sz w:val="20"/>
          <w:szCs w:val="20"/>
        </w:rPr>
        <w:t xml:space="preserve"> মামলায় সুনির্দিষ্টভাবে রায় দিয়াছেন: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[71 DLR (AD) 327]:</w:t>
      </w:r>
      <w:r>
        <w:rPr>
          <w:rFonts w:ascii="Kalpurush" w:cs="Kalpurush" w:eastAsia="Kalpurush" w:hAnsi="Kalpurush"/>
          <w:i/>
          <w:iCs/>
          <w:sz w:val="20"/>
          <w:szCs w:val="20"/>
        </w:rPr>
        <w:t xml:space="preserve"> *"Tampered entries, unauthorized interpolations, and fraudulent insertions made in subordinate office volume books cannot override or defeat the authentic statutory record preserved in the Central Collectorate Record Room."*</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[1 BLT (HD) 18]:</w:t>
      </w:r>
      <w:r>
        <w:rPr>
          <w:rFonts w:ascii="Kalpurush" w:cs="Kalpurush" w:eastAsia="Kalpurush" w:hAnsi="Kalpurush"/>
          <w:i/>
          <w:iCs/>
          <w:sz w:val="20"/>
          <w:szCs w:val="20"/>
        </w:rPr>
        <w:t xml:space="preserve"> *"SA Khatian changes or insertions in separate ink and handwriting without a parent judicial order sheet are fraudulent, inadmissible, and must be excised. Where the parent order is not produced, secondary volume entry carries no evidentiary value to prove title."*</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সাক্ষী DW-4 (এসিল্যান্ড অফিসের কর্মচারী) জেরায় স্পষ্টভাবে স্বীকার করিয়াছেন যে—উক্ত ভলিউমের এন্ট্রিটি ভিন্ন কালিতে লিখিত, কার হস্তলিপিতে লিখিত তাহা তিনি জানেন না, এবং উক্ত এন্ট্রির সপক্ষে কোনো মূল আদেশনামা বা নথি এসিল্যান্ড অফিসে সংরক্ষিত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এই সাক্ষ্যের পর ভিন্ন কালির ভলিউম এন্ট্রিটি স্পষ্টতই একটি বেআইনি জালিয়াতি (Fraudulent interpolation) এবং জেলা রেকর্ড রুমের অবিকৃত মূল খতিয়ানের বিপরীতে সম্পূর্ণ মূল্যহীন।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 “বেলুয়া” প্রসঙ্গটি বিবাদীপক্ষের ধারাবাহিক স্বত্ব-তত্ত্বের বিরুদ্ধে মারাত্মক স্ববিরোধিতা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পারিবারিক স্বত্ব-তত্ত্ব (Succession Theory) অনুযায়ী:</w:t>
      </w:r>
    </w:p>
    <w:p>
      <w:r>
        <w:rPr>
          <w:rFonts w:ascii="Kalpurush" w:cs="Kalpurush" w:eastAsia="Kalpurush" w:hAnsi="Kalpurush"/>
          <w:sz w:val="20"/>
          <w:szCs w:val="20"/>
        </w:rPr>
        <w:t xml:space="preserve">$$\text{আব্দুল করিম} \longrightarrow \text{তাঁর উত্তরাধিকারীগণ} \longrightarrow \text{সোনাভানু ও বেলুয়া} \longrightarrow \text{বিবাদীদের স্বত্ব}$$</w:t>
      </w:r>
    </w:p>
    <w:p>
      <w:r>
        <w:rPr>
          <w:rFonts w:ascii="Kalpurush" w:cs="Kalpurush" w:eastAsia="Kalpurush" w:hAnsi="Kalpurush"/>
        </w:rPr>
        <w:t xml:space="preserve"/>
      </w:r>
    </w:p>
    <w:p>
      <w:r>
        <w:rPr>
          <w:rFonts w:ascii="Kalpurush" w:cs="Kalpurush" w:eastAsia="Kalpurush" w:hAnsi="Kalpurush"/>
          <w:sz w:val="20"/>
          <w:szCs w:val="20"/>
        </w:rPr>
        <w:t xml:space="preserve">তাহলে আদালতের সামনে অকাট্য প্রশ্ন:</w:t>
      </w:r>
    </w:p>
    <w:p>
      <w:r>
        <w:rPr>
          <w:rFonts w:ascii="Kalpurush" w:cs="Kalpurush" w:eastAsia="Kalpurush" w:hAnsi="Kalpurush"/>
          <w:sz w:val="20"/>
          <w:szCs w:val="20"/>
        </w:rPr>
        <w:t xml:space="preserve">1. যে বেলুয়ার কাছ থেকে বিবাদীপক্ষ পরবর্তীতে জমি খরিদ করিয়াছে, সেই বেলুয়ার স্বত্বের ভিত্তি কোথায়?</w:t>
      </w:r>
    </w:p>
    <w:p>
      <w:r>
        <w:rPr>
          <w:rFonts w:ascii="Kalpurush" w:cs="Kalpurush" w:eastAsia="Kalpurush" w:hAnsi="Kalpurush"/>
          <w:sz w:val="20"/>
          <w:szCs w:val="20"/>
        </w:rPr>
        <w:t xml:space="preserve">2. বিবাদীদের দাবি অনুযায়ী ১৯৬৯ সালের কথিত সংশোধনে যদি কেবল সোনাভানুর নাম ওঠে, তবে সেই একই সংশোধনে উত্তরাধিকারী বেলুয়ার নাম বাদ পড়িল কেন?</w:t>
      </w:r>
    </w:p>
    <w:p>
      <w:r>
        <w:rPr>
          <w:rFonts w:ascii="Kalpurush" w:cs="Kalpurush" w:eastAsia="Kalpurush" w:hAnsi="Kalpurush"/>
          <w:sz w:val="20"/>
          <w:szCs w:val="20"/>
        </w:rPr>
        <w:t xml:space="preserve">3. যদি সংশোধনে বেলুয়ার নাম না থাকে, তবে বেলুয়া কীভাবে বিবাদীদের নিকট জমি হস্তান্তর করিলেন?</w:t>
      </w:r>
    </w:p>
    <w:p>
      <w:r>
        <w:rPr>
          <w:rFonts w:ascii="Kalpurush" w:cs="Kalpurush" w:eastAsia="Kalpurush" w:hAnsi="Kalpurush"/>
        </w:rPr>
        <w:t xml:space="preserve"/>
      </w:r>
    </w:p>
    <w:p>
      <w:r>
        <w:rPr>
          <w:rFonts w:ascii="Kalpurush" w:cs="Kalpurush" w:eastAsia="Kalpurush" w:hAnsi="Kalpurush"/>
          <w:sz w:val="20"/>
          <w:szCs w:val="20"/>
        </w:rPr>
        <w:t xml:space="preserve">যদি বিবাদীরা বলে বেলুয়া করিমের ওয়ারিশ সূত্রে মালিক, তবে ১৯৬৯ সালের কথিত মিস কেসের ভলিউম এন্ট্রিটি করিমের ওয়ারিশানদের বাস্তবতার সহিত সাংঘর্ষিক ও বানোয়াট।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বিবাদীপক্ষের নিজস্ব দাবির অভ্যন্তরেই এই অনতিক্রম্য বিরোধ বিদ্যমান, যাহা প্রমাণ করে যে ১৯৬৯ সালের কথিত সংশোধন একটি অসৎ উদ্দেশ্যে তৈরিকৃত ভুয়া এন্ট্রি মাত্র।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১৯৭৫ সালের ৩৫৯৬ নং রেজিস্ট্রি দলিল—বিবাদীদের নিজস্ব দলিলে ৬টি দাগের উল্লেখ এবং Approbate &amp; Reprobate নীতি</w:t>
      </w:r>
    </w:p>
    <w:p>
      <w:r>
        <w:rPr>
          <w:rFonts w:ascii="Kalpurush" w:cs="Kalpurush" w:eastAsia="Kalpurush" w:hAnsi="Kalpurush"/>
        </w:rPr>
        <w:t xml:space="preserve"/>
      </w:r>
    </w:p>
    <w:p>
      <w:r>
        <w:rPr>
          <w:rFonts w:ascii="Kalpurush" w:cs="Kalpurush" w:eastAsia="Kalpurush" w:hAnsi="Kalpurush"/>
          <w:sz w:val="20"/>
          <w:szCs w:val="20"/>
        </w:rPr>
        <w:t xml:space="preserve">বিবাদীপক্ষ আদালতে ১৯৭৫ সালের একটি রেজিস্ট্রি কবলা দলিল (দলিল নং ৩৫৯৬) দাখিল করিয়াছে।</w:t>
      </w:r>
    </w:p>
    <w:p>
      <w:r>
        <w:rPr>
          <w:rFonts w:ascii="Kalpurush" w:cs="Kalpurush" w:eastAsia="Kalpurush" w:hAnsi="Kalpurush"/>
        </w:rPr>
        <w:t xml:space="preserve"/>
      </w:r>
    </w:p>
    <w:p>
      <w:r>
        <w:rPr>
          <w:rFonts w:ascii="Kalpurush" w:cs="Kalpurush" w:eastAsia="Kalpurush" w:hAnsi="Kalpurush"/>
          <w:sz w:val="20"/>
          <w:szCs w:val="20"/>
        </w:rPr>
        <w:t xml:space="preserve">এই দলিলটি বিবাদীদের সম্পূর্ণ মামলার বুকে একটি অকাট্য আঘাত:</w:t>
      </w:r>
    </w:p>
    <w:p>
      <w:pPr>
        <w:pStyle w:val="ListParagraph"/>
        <w:numPr>
          <w:ilvl w:val="0"/>
          <w:numId w:val="1"/>
        </w:numPr>
      </w:pPr>
      <w:r>
        <w:rPr>
          <w:rFonts w:ascii="Kalpurush" w:cs="Kalpurush" w:eastAsia="Kalpurush" w:hAnsi="Kalpurush"/>
          <w:sz w:val="20"/>
          <w:szCs w:val="20"/>
        </w:rPr>
        <w:t xml:space="preserve">বিবাদীপক্ষ ট্রায়াল কোর্টে দাবি করিয়াছে যে, ১৯৬৯ সালের মিস কেসের মাধ্যমে SA ২৩৮ খতিয়ানটি পরিবর্তিত হইয়া কেবল মাত্র একটি দাগে (১২৫৯ দাগে) সীমাবদ্ধ হইয়াছিল।</w:t>
      </w:r>
    </w:p>
    <w:p>
      <w:pPr>
        <w:pStyle w:val="ListParagraph"/>
        <w:numPr>
          <w:ilvl w:val="0"/>
          <w:numId w:val="1"/>
        </w:numPr>
      </w:pPr>
      <w:r>
        <w:rPr>
          <w:rFonts w:ascii="Kalpurush" w:cs="Kalpurush" w:eastAsia="Kalpurush" w:hAnsi="Kalpurush"/>
          <w:b/>
          <w:bCs/>
          <w:sz w:val="20"/>
          <w:szCs w:val="20"/>
        </w:rPr>
        <w:t xml:space="preserve">অথচ বিবাদীদের নিজেদের দাখিলকৃত ১৯৭৫ সালের ৩৫৯৬ নং দলিলে স্পষ্টাক্ষরে উল্লেখ রহিয়াছে যে, SA ২৩৮ নং খতিয়ানের অধীন মোট ৬টি দাগ (দাগ নং ১২৫৯, ৭৫, ৩, ৫৪, ১২৫২ এবং ১২২০) অন্তর্ভুক্ত রহিয়াছে!</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28 DLR (AD) 195 (*Bangladesh vs. Shamsuzzoha*)</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22 BLC (AD) 258</w:t>
      </w:r>
      <w:r>
        <w:rPr>
          <w:rFonts w:ascii="Kalpurush" w:cs="Kalpurush" w:eastAsia="Kalpurush" w:hAnsi="Kalpurush"/>
          <w:sz w:val="20"/>
          <w:szCs w:val="20"/>
        </w:rPr>
        <w:t xml:space="preserve"> মামলায় ঘোষণা করিয়াছেন: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[28 DLR (AD) 195]:</w:t>
      </w:r>
      <w:r>
        <w:rPr>
          <w:rFonts w:ascii="Kalpurush" w:cs="Kalpurush" w:eastAsia="Kalpurush" w:hAnsi="Kalpurush"/>
          <w:i/>
          <w:iCs/>
          <w:sz w:val="20"/>
          <w:szCs w:val="20"/>
        </w:rPr>
        <w:t xml:space="preserve"> *"A party cannot blow hot and cold at the same time (quod approbo non reprobo). A solemn recital and admission made in a party's own registered title deed operates as a strong admission under Sections 17, 21 and 31 of the Evidence Act, estopping that party from taking a diametrically opposite stand in pleadings."*</w:t>
      </w:r>
    </w:p>
    <w:p>
      <w:r>
        <w:rPr>
          <w:rFonts w:ascii="Kalpurush" w:cs="Kalpurush" w:eastAsia="Kalpurush" w:hAnsi="Kalpurush"/>
        </w:rPr>
        <w:t xml:space="preserve"/>
      </w:r>
    </w:p>
    <w:p>
      <w:r>
        <w:rPr>
          <w:rFonts w:ascii="Kalpurush" w:cs="Kalpurush" w:eastAsia="Kalpurush" w:hAnsi="Kalpurush"/>
          <w:sz w:val="20"/>
          <w:szCs w:val="20"/>
        </w:rPr>
        <w:t xml:space="preserve">বিবাদীরা একদিকে নিজেদের দলিলে ৬টি দাগ দাবি করিবে, অন্যদিকে আদালতে এসে বলিবে ১৯৬৯ সালে খতিয়ান ১ দাগে নেমে আসিয়াছিল—এই চরম স্ববিরোধিতা আইনত নিষিদ্ধ।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বিবাদীপক্ষের এই স্বীকারোক্তিমূলক দলিল তাহাদের ১৯৬৯ সালের কথিত সংশোধন তত্ত্বকে সমূলে ধ্বংস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১৯৬৯ সালের কথিত সংশোধনে উত্তরাধিকারী বণ্টনের চরম অসংগতি: একই ঘটনার ফলে কেবল সোনাভানুর নাম কেন?</w:t>
      </w:r>
    </w:p>
    <w:p>
      <w:r>
        <w:rPr>
          <w:rFonts w:ascii="Kalpurush" w:cs="Kalpurush" w:eastAsia="Kalpurush" w:hAnsi="Kalpurush"/>
        </w:rPr>
        <w:t xml:space="preserve"/>
      </w:r>
    </w:p>
    <w:p>
      <w:r>
        <w:rPr>
          <w:rFonts w:ascii="Kalpurush" w:cs="Kalpurush" w:eastAsia="Kalpurush" w:hAnsi="Kalpurush"/>
          <w:sz w:val="20"/>
          <w:szCs w:val="20"/>
        </w:rPr>
        <w:t xml:space="preserve">যদি তর্কের খাতিরেও ধরে নেওয়া হয় যে ১৯৬৯ সালের কথিত মিস কেসটি আব্দুল করিমের উত্তরাধিকার নিষ্পত্তির জন্য হইয়াছিল, তবুও একটি যৌক্তিক প্রশ্ন অবশিষ্ট থাকে:</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একই উত্তরাধিকারী ঘটনার (Succession Event) প্রেক্ষিতে আব্দুল করিমের অন্যান্য ওয়ারিশগণকে বাদ দিয়া শুধুমাত্র সোনাভানুর নাম কীভাবে অন্তর্ভুক্ত হইল?</w:t>
      </w:r>
    </w:p>
    <w:p>
      <w:r>
        <w:rPr>
          <w:rFonts w:ascii="Kalpurush" w:cs="Kalpurush" w:eastAsia="Kalpurush" w:hAnsi="Kalpurush"/>
        </w:rPr>
        <w:t xml:space="preserve"/>
      </w:r>
    </w:p>
    <w:p>
      <w:r>
        <w:rPr>
          <w:rFonts w:ascii="Kalpurush" w:cs="Kalpurush" w:eastAsia="Kalpurush" w:hAnsi="Kalpurush"/>
          <w:sz w:val="20"/>
          <w:szCs w:val="20"/>
        </w:rPr>
        <w:t xml:space="preserve">মুসলিম উত্তরাধিকার আইন অনুযায়ী কোনো একজন ওয়ারিশের নামে এককভাবে পিতার সম্পূর্ণ বা বিশেষ জোত রেকর্ড হওয়ার কোনো আইনি সুযোগ নাই। বিবাদীপক্ষ অন্যান্য কন্যা বা ওয়ারিশদের ত্যাগের কোনো রেজিস্ট্রি দলিল প্রদর্শন করিতে পারে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এই অসংগতি প্রমাণ করে যে কথিত ভলিউম এন্ট্রি কোনো বিচারিক বা আইনি বণ্টনের ফল ছিল না; ইহা ছিল একটি উদ্দেশ্যপ্রণোদিত বেআইনি কারসাজি।</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“Missing document” এখানে সহায়ক নথি নয়, ইহাই বিবাদীপক্ষের দাবির একমাত্র foundation</w:t>
      </w:r>
    </w:p>
    <w:p>
      <w:r>
        <w:rPr>
          <w:rFonts w:ascii="Kalpurush" w:cs="Kalpurush" w:eastAsia="Kalpurush" w:hAnsi="Kalpurush"/>
        </w:rPr>
        <w:t xml:space="preserve"/>
      </w:r>
    </w:p>
    <w:p>
      <w:r>
        <w:rPr>
          <w:rFonts w:ascii="Kalpurush" w:cs="Kalpurush" w:eastAsia="Kalpurush" w:hAnsi="Kalpurush"/>
          <w:sz w:val="20"/>
          <w:szCs w:val="20"/>
        </w:rPr>
        <w:t xml:space="preserve">সাধারণত কোনো গৌণ বা আনুষঙ্গিক নথি অনুপস্থিত থাকিলে আদালত পারিপার্শ্বিক সাক্ষ্য দ্বারা সিদ্ধান্ত নিতে পারেন। কিন্তু এই মামলায় কথিত মিস কেসের আদেশটি কোনো ancillary document নয়; </w:t>
      </w:r>
      <w:r>
        <w:rPr>
          <w:rFonts w:ascii="Kalpurush" w:cs="Kalpurush" w:eastAsia="Kalpurush" w:hAnsi="Kalpurush"/>
          <w:b/>
          <w:bCs/>
          <w:sz w:val="20"/>
          <w:szCs w:val="20"/>
        </w:rPr>
        <w:t xml:space="preserve">ইহাই বিবাদীদের দাবির একমাত্র মূল ভিত্তি (Sole Foundation)।</w:t>
      </w:r>
    </w:p>
    <w:p>
      <w:r>
        <w:rPr>
          <w:rFonts w:ascii="Kalpurush" w:cs="Kalpurush" w:eastAsia="Kalpurush" w:hAnsi="Kalpurush"/>
        </w:rPr>
        <w:t xml:space="preserve"/>
      </w:r>
    </w:p>
    <w:p>
      <w:r>
        <w:rPr>
          <w:rFonts w:ascii="Kalpurush" w:cs="Kalpurush" w:eastAsia="Kalpurush" w:hAnsi="Kalpurush"/>
          <w:sz w:val="20"/>
          <w:szCs w:val="20"/>
        </w:rPr>
        <w:t xml:space="preserve">সুতরাং যুক্তির কাঠামো:</w:t>
      </w:r>
    </w:p>
    <w:p>
      <w:r>
        <w:rPr>
          <w:rFonts w:ascii="Kalpurush" w:cs="Kalpurush" w:eastAsia="Kalpurush" w:hAnsi="Kalpurush"/>
          <w:sz w:val="20"/>
          <w:szCs w:val="20"/>
        </w:rPr>
        <w:t xml:space="preserve">$$\text{SA ২৩৮ (বৈধ রেকর্ড)} \longrightarrow \text{কথিত সংশোধন} \longrightarrow \text{সংশোধনের উৎস: মিস কেসের আদেশ} \longrightarrow \text{আদেশ আদালতে দাখিল নাই} \longrightarrow \text{দাবি অপ্রমাণিত ও বাতিল}$$</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সিদ্ধান্ত অনুযায়ী, মূল ভিত্তিপ্রস্তর অনুপস্থিত থাকিলে কোনো গৌণ এন্ট্রি দ্বারা স্বত্ব প্রমাণ করা যায় না (</w:t>
      </w: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মূল আদেশের অনুপস্থিতিতে বিজ্ঞ ট্রায়াল কোর্ট বিবাদীদের কথিত সংশোধনীর দাবি গ্রহণ করিয়া স্পষ্ট বিচারিক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১৯৫৭ সালের ২৩৯৮ নং রেজিস্ট্রি দলিলের মাধ্যমে আব্দুল আলীর হস্তান্তর—SA ২৩৮ খতিয়ানের ধারাবাহিক corroborate প্রমাণ</w:t>
      </w:r>
    </w:p>
    <w:p>
      <w:r>
        <w:rPr>
          <w:rFonts w:ascii="Kalpurush" w:cs="Kalpurush" w:eastAsia="Kalpurush" w:hAnsi="Kalpurush"/>
        </w:rPr>
        <w:t xml:space="preserve"/>
      </w:r>
    </w:p>
    <w:p>
      <w:r>
        <w:rPr>
          <w:rFonts w:ascii="Kalpurush" w:cs="Kalpurush" w:eastAsia="Kalpurush" w:hAnsi="Kalpurush"/>
          <w:sz w:val="20"/>
          <w:szCs w:val="20"/>
        </w:rPr>
        <w:t xml:space="preserve">আপীল্যান্টদের পূর্বসূরি আব্দুল আলী ১৯৫৭ সালে ২৩৯৮ নং রেজিস্ট্রি কবলা দলিলের মাধ্যমে SA ২৩৮ খতিয়ানের জমি হস্তান্তর করিয়াছিলেন।</w:t>
      </w:r>
    </w:p>
    <w:p>
      <w:r>
        <w:rPr>
          <w:rFonts w:ascii="Kalpurush" w:cs="Kalpurush" w:eastAsia="Kalpurush" w:hAnsi="Kalpurush"/>
        </w:rPr>
        <w:t xml:space="preserve"/>
      </w:r>
    </w:p>
    <w:p>
      <w:r>
        <w:rPr>
          <w:rFonts w:ascii="Kalpurush" w:cs="Kalpurush" w:eastAsia="Kalpurush" w:hAnsi="Kalpurush"/>
          <w:sz w:val="20"/>
          <w:szCs w:val="20"/>
        </w:rPr>
        <w:t xml:space="preserve">আপীল্যান্টগণ এই দলিলটিকে একক স্বত্বের দলিল বলিয়া দাবি করিতেছেন না; বরং:</w:t>
      </w:r>
    </w:p>
    <w:p>
      <w:pPr>
        <w:ind w:left="720"/>
      </w:pPr>
      <w:r>
        <w:rPr>
          <w:rFonts w:ascii="Kalpurush" w:cs="Kalpurush" w:eastAsia="Kalpurush" w:hAnsi="Kalpurush"/>
          <w:i/>
          <w:iCs/>
          <w:sz w:val="20"/>
          <w:szCs w:val="20"/>
        </w:rPr>
        <w:t xml:space="preserve">SA ২৩৮ খতিয়ানে আব্দুল আলীর নাম একক রায়ত হিসেবে থাকা + ১৯৫৭ সালে তাঁর দ্বারা রেজিস্ট্রি দলিলের মাধ্যমে জমির হস্তান্তর হওয়া—এই দুটি ঘটনা একই সূত্রে গাঁথা এবং আব্দুল আলীর নিরবচ্ছিন্ন রায়তি স্বত্ব ও দখলকে দ্ব্যর্থহীনভাবে corroborate করে।</w:t>
      </w:r>
    </w:p>
    <w:p>
      <w:r>
        <w:rPr>
          <w:rFonts w:ascii="Kalpurush" w:cs="Kalpurush" w:eastAsia="Kalpurush" w:hAnsi="Kalpurush"/>
        </w:rPr>
        <w:t xml:space="preserve"/>
      </w:r>
    </w:p>
    <w:p>
      <w:r>
        <w:rPr>
          <w:rFonts w:ascii="Kalpurush" w:cs="Kalpurush" w:eastAsia="Kalpurush" w:hAnsi="Kalpurush"/>
          <w:sz w:val="20"/>
          <w:szCs w:val="20"/>
        </w:rPr>
        <w:t xml:space="preserve">বিপরীতে, বিবাদীপক্ষের দাবিকৃত ১৯৩৪ সালের পত্তন বা ১৯৬৯ সালের মিস কেসের কোনো রেজিস্ট্রি বা সরকারি প্রাথমিক প্রমাণ আদালতে অনুপস্থিত।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বাদীদের প্রদর্শিত দলিলের তুলনামূলক প্রাধান্য অস্বীকার করিয়া ট্রায়াল কোর্ট চরম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একই দাগে পৃথক খতিয়ান (১ নং খাস খতিয়ান বনাম SA ২৩৮) থাকিলে Hotchpot ত্রুটি সৃষ্টি হয় না</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কোর্টের রায়ের অন্যতম প্রধান ভুল হলো এই ধারণা যে—যেহেতু ১২৫৯ দাগের মোট জমি ৪৭৭ শতক এবং তার মধ্যে বাদীরা ৩৪০ শতকের বাটোয়ারা চাহিয়াছেন, বাকি ১৩৭ শতক (যা ১ নং খাস খতিয়ানের সরকারি বন/খাস জমি) অন্তর্ভুক্ত না করায় মামলাটি Hotchpot দোষে দুষ্ট হইয়াছে!</w:t>
      </w:r>
    </w:p>
    <w:p>
      <w:r>
        <w:rPr>
          <w:rFonts w:ascii="Kalpurush" w:cs="Kalpurush" w:eastAsia="Kalpurush" w:hAnsi="Kalpurush"/>
        </w:rPr>
        <w:t xml:space="preserve"/>
      </w:r>
    </w:p>
    <w:p>
      <w:r>
        <w:rPr>
          <w:rFonts w:ascii="Kalpurush" w:cs="Kalpurush" w:eastAsia="Kalpurush" w:hAnsi="Kalpurush"/>
          <w:sz w:val="20"/>
          <w:szCs w:val="20"/>
        </w:rPr>
        <w:t xml:space="preserve">এই যুক্তি সম্পূর্ণ ভিত্তিহীন ও আইনসম্মত নয়:</w:t>
      </w:r>
    </w:p>
    <w:p>
      <w:r>
        <w:rPr>
          <w:rFonts w:ascii="Kalpurush" w:cs="Kalpurush" w:eastAsia="Kalpurush" w:hAnsi="Kalpurush"/>
          <w:sz w:val="20"/>
          <w:szCs w:val="20"/>
        </w:rPr>
        <w:t xml:space="preserve">1. ১২৫৯ দাগে দুটি পৃথক জোত ও খতিয়ান বিদ্যমান—একটি সরকারের ১ নং খতিয়ান, অপরটি আপীল্যান্টদের পূর্বসূরির SA ২৩৮ খতিয়ান;</w:t>
      </w:r>
    </w:p>
    <w:p>
      <w:r>
        <w:rPr>
          <w:rFonts w:ascii="Kalpurush" w:cs="Kalpurush" w:eastAsia="Kalpurush" w:hAnsi="Kalpurush"/>
          <w:sz w:val="20"/>
          <w:szCs w:val="20"/>
        </w:rPr>
        <w:t xml:space="preserve">2. আপীল্যান্টগণ সরকারের ১ নং খতিয়ানের জমির ওপর কোনো স্বত্ব, অংশ বা বাটোয়ারার প্রতিকার দাবি করেন নাই;</w:t>
      </w:r>
    </w:p>
    <w:p>
      <w:r>
        <w:rPr>
          <w:rFonts w:ascii="Kalpurush" w:cs="Kalpurush" w:eastAsia="Kalpurush" w:hAnsi="Kalpurush"/>
          <w:sz w:val="20"/>
          <w:szCs w:val="20"/>
        </w:rPr>
        <w:t xml:space="preserve">3. বাদীরা কেবলমাত্র নিজেদের SA ২৩৮ খতিয়ানভুক্ত ব্যক্তিমালিকানাধীন জোতের জমিতে সহ-শরিকদের মধ্যে বাটোয়ারা চাহিয়াছেন।</w:t>
      </w:r>
    </w:p>
    <w:p>
      <w:r>
        <w:rPr>
          <w:rFonts w:ascii="Kalpurush" w:cs="Kalpurush" w:eastAsia="Kalpurush" w:hAnsi="Kalpurush"/>
        </w:rPr>
        <w:t xml:space="preserve"/>
      </w:r>
    </w:p>
    <w:p>
      <w:r>
        <w:rPr>
          <w:rFonts w:ascii="Kalpurush" w:cs="Kalpurush" w:eastAsia="Kalpurush" w:hAnsi="Kalpurush"/>
          <w:sz w:val="20"/>
          <w:szCs w:val="20"/>
        </w:rPr>
        <w:t xml:space="preserve">মহামান্য হাইকোর্ট ডিভিশন </w:t>
      </w:r>
      <w:r>
        <w:rPr>
          <w:rFonts w:ascii="Kalpurush" w:cs="Kalpurush" w:eastAsia="Kalpurush" w:hAnsi="Kalpurush"/>
          <w:b/>
          <w:bCs/>
          <w:sz w:val="20"/>
          <w:szCs w:val="20"/>
        </w:rPr>
        <w:t xml:space="preserve">27 BLD (HD) 229 (*Shahjahan Akon vs. Murshida Khanam*)</w:t>
      </w:r>
      <w:r>
        <w:rPr>
          <w:rFonts w:ascii="Kalpurush" w:cs="Kalpurush" w:eastAsia="Kalpurush" w:hAnsi="Kalpurush"/>
          <w:sz w:val="20"/>
          <w:szCs w:val="20"/>
        </w:rPr>
        <w:t xml:space="preserve"> মামলায় সুনির্দিষ্ট সিদ্ধান্ত দিয়াছেন: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229]:</w:t>
      </w:r>
      <w:r>
        <w:rPr>
          <w:rFonts w:ascii="Kalpurush" w:cs="Kalpurush" w:eastAsia="Kalpurush" w:hAnsi="Kalpurush"/>
          <w:i/>
          <w:iCs/>
          <w:sz w:val="20"/>
          <w:szCs w:val="20"/>
        </w:rPr>
        <w:t xml:space="preserve"> *"Separate khatians represent separate and distinct tenancies. In a partition suit, the rule of hotchpot applies only to properties held in common tenancy among the co-sharers. Non-inclusion of separate khatian land or adjacent government land recorded in Khatian No. 1 within the same geographic plot does not attract the defect of partial partition or hotchpot."*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পৃথক খতিয়ানের সরকারি খাস জমি অন্তর্ভুক্ত না করায় মামলায় কোনো Hotchpot ত্রুটি ঘটে নাই। ট্রায়াল কোর্টের এই পর্যবেক্ষণ আইনত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১৬. সরকারের বিরুদ্ধে কোনো প্রতিকার দাবি না করায় সরকার আবশ্যকীয় পক্ষ নয়</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দ্বিতীয় যে পদ্ধতিগত অজুহাতে মামলা খারিজ করিয়াছেন তাহা হলো—সরকারকে পক্ষভুক্ত না করা (Non-joinder of Government)।</w:t>
      </w:r>
    </w:p>
    <w:p>
      <w:r>
        <w:rPr>
          <w:rFonts w:ascii="Kalpurush" w:cs="Kalpurush" w:eastAsia="Kalpurush" w:hAnsi="Kalpurush"/>
        </w:rPr>
        <w:t xml:space="preserve"/>
      </w:r>
    </w:p>
    <w:p>
      <w:r>
        <w:rPr>
          <w:rFonts w:ascii="Kalpurush" w:cs="Kalpurush" w:eastAsia="Kalpurush" w:hAnsi="Kalpurush"/>
          <w:sz w:val="20"/>
          <w:szCs w:val="20"/>
        </w:rPr>
        <w:t xml:space="preserve">আইনগত সত্য হলো:</w:t>
      </w:r>
    </w:p>
    <w:p>
      <w:pPr>
        <w:pStyle w:val="ListParagraph"/>
        <w:numPr>
          <w:ilvl w:val="0"/>
          <w:numId w:val="1"/>
        </w:numPr>
      </w:pPr>
      <w:r>
        <w:rPr>
          <w:rFonts w:ascii="Kalpurush" w:cs="Kalpurush" w:eastAsia="Kalpurush" w:hAnsi="Kalpurush"/>
          <w:sz w:val="20"/>
          <w:szCs w:val="20"/>
        </w:rPr>
        <w:t xml:space="preserve">আপীল্যান্টগণ সরকারের বিরুদ্ধে কোনো স্বত্ব ঘোষণা, খতিয়ান সংশোধন বা দখলের প্রতিকার চান নাই;</w:t>
      </w:r>
    </w:p>
    <w:p>
      <w:pPr>
        <w:pStyle w:val="ListParagraph"/>
        <w:numPr>
          <w:ilvl w:val="0"/>
          <w:numId w:val="1"/>
        </w:numPr>
      </w:pPr>
      <w:r>
        <w:rPr>
          <w:rFonts w:ascii="Kalpurush" w:cs="Kalpurush" w:eastAsia="Kalpurush" w:hAnsi="Kalpurush"/>
          <w:sz w:val="20"/>
          <w:szCs w:val="20"/>
        </w:rPr>
        <w:t xml:space="preserve">সরকারের ১ নং খাস খতিয়ানভুক্ত ১৩৭ শতক জমি বাটোয়ারার তফসিলে অন্তর্ভুক্ত করা হয় নাই;</w:t>
      </w:r>
    </w:p>
    <w:p>
      <w:pPr>
        <w:pStyle w:val="ListParagraph"/>
        <w:numPr>
          <w:ilvl w:val="0"/>
          <w:numId w:val="1"/>
        </w:numPr>
      </w:pPr>
      <w:r>
        <w:rPr>
          <w:rFonts w:ascii="Kalpurush" w:cs="Kalpurush" w:eastAsia="Kalpurush" w:hAnsi="Kalpurush"/>
          <w:sz w:val="20"/>
          <w:szCs w:val="20"/>
        </w:rPr>
        <w:t xml:space="preserve">দেওয়ানি কার্যবিধির Order 1 Rule 9 স্পষ্ট বিধান করিয়াছে যে, কোনো পক্ষভুক্তির ত্রুটির কারণে দেওয়ানি মামলা ব্যর্থ হইবে না (No suit shall be defeated by reason of the misjoinder or non-joinder of parties)।</w:t>
      </w:r>
    </w:p>
    <w:p>
      <w:r>
        <w:rPr>
          <w:rFonts w:ascii="Kalpurush" w:cs="Kalpurush" w:eastAsia="Kalpurush" w:hAnsi="Kalpurush"/>
        </w:rPr>
        <w:t xml:space="preserve"/>
      </w:r>
    </w:p>
    <w:p>
      <w:r>
        <w:rPr>
          <w:rFonts w:ascii="Kalpurush" w:cs="Kalpurush" w:eastAsia="Kalpurush" w:hAnsi="Kalpurush"/>
          <w:sz w:val="20"/>
          <w:szCs w:val="20"/>
        </w:rPr>
        <w:t xml:space="preserve">মহামান্য সুপ্রিম কোর্টের আপীলেট ডিভিশন </w:t>
      </w:r>
      <w:r>
        <w:rPr>
          <w:rFonts w:ascii="Kalpurush" w:cs="Kalpurush" w:eastAsia="Kalpurush" w:hAnsi="Kalpurush"/>
          <w:b/>
          <w:bCs/>
          <w:sz w:val="20"/>
          <w:szCs w:val="20"/>
        </w:rPr>
        <w:t xml:space="preserve">49 DLR (AD) 15 (*Safaruddin vs. Fazlul Huq*)</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55 DLR (AD) 108 (*Alfazuddin Ahmed vs. Abdur Rahman*)</w:t>
      </w:r>
      <w:r>
        <w:rPr>
          <w:rFonts w:ascii="Kalpurush" w:cs="Kalpurush" w:eastAsia="Kalpurush" w:hAnsi="Kalpurush"/>
          <w:sz w:val="20"/>
          <w:szCs w:val="20"/>
        </w:rPr>
        <w:t xml:space="preserve"> মামলায় দ্ব্যর্থহীনভাবে রায় দিয়াছেন: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[49 DLR (AD) 15]:</w:t>
      </w:r>
      <w:r>
        <w:rPr>
          <w:rFonts w:ascii="Kalpurush" w:cs="Kalpurush" w:eastAsia="Kalpurush" w:hAnsi="Kalpurush"/>
          <w:i/>
          <w:iCs/>
          <w:sz w:val="20"/>
          <w:szCs w:val="20"/>
        </w:rPr>
        <w:t xml:space="preserve"> *"In a suit for partition between private co-sharers, the Government is not a necessary party unless the Government's proprietary right is directly challenged or government khas land is sought to be partitioned. Non-joinder of a party against whom no relief is claimed is not fatal to the maintainability of the suit."*</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[55 DLR (AD) 108]:</w:t>
      </w:r>
      <w:r>
        <w:rPr>
          <w:rFonts w:ascii="Kalpurush" w:cs="Kalpurush" w:eastAsia="Kalpurush" w:hAnsi="Kalpurush"/>
          <w:i/>
          <w:iCs/>
          <w:sz w:val="20"/>
          <w:szCs w:val="20"/>
        </w:rPr>
        <w:t xml:space="preserve"> *"A partition suit cannot be dismissed for non-joinder of third parties or Government when the subject matter is strictly confined to the private co-tenancy."*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অতএব সরকারকে পক্ষভুক্ত না করার কারণে বাটোয়ারা মামলা খারিজ করা বিজ্ঞ নিম্ন আদালতের মারাত্মক বিচারিক ভুল।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১৭. ১নং বিবাদীর সোলেহনামা ও আচরণ—আপীল্যান্টদের স্বত্বের অনুকূলে গুরুত্বপূর্ণ বিবেচ্য বিষয়</w:t>
      </w:r>
    </w:p>
    <w:p>
      <w:r>
        <w:rPr>
          <w:rFonts w:ascii="Kalpurush" w:cs="Kalpurush" w:eastAsia="Kalpurush" w:hAnsi="Kalpurush"/>
        </w:rPr>
        <w:t xml:space="preserve"/>
      </w:r>
    </w:p>
    <w:p>
      <w:r>
        <w:rPr>
          <w:rFonts w:ascii="Kalpurush" w:cs="Kalpurush" w:eastAsia="Kalpurush" w:hAnsi="Kalpurush"/>
          <w:sz w:val="20"/>
          <w:szCs w:val="20"/>
        </w:rPr>
        <w:t xml:space="preserve">মামলার ১নং বিবাদী সোলায়মান হোসেন আব্দুল আলীর নিজ পুত্র এবং তিনি আদালতে উপস্থিত হইয়া আপীল্যান্টদের দাবিকৃত বণ্টন ও হিস্যা স্বীকার করিয়া আপস-মীমাংসার (Solenama/Compromise) আবেদন দাখিল করিয়াছেন।</w:t>
      </w:r>
    </w:p>
    <w:p>
      <w:r>
        <w:rPr>
          <w:rFonts w:ascii="Kalpurush" w:cs="Kalpurush" w:eastAsia="Kalpurush" w:hAnsi="Kalpurush"/>
        </w:rPr>
        <w:t xml:space="preserve"/>
      </w:r>
    </w:p>
    <w:p>
      <w:r>
        <w:rPr>
          <w:rFonts w:ascii="Kalpurush" w:cs="Kalpurush" w:eastAsia="Kalpurush" w:hAnsi="Kalpurush"/>
          <w:sz w:val="20"/>
          <w:szCs w:val="20"/>
        </w:rPr>
        <w:t xml:space="preserve">আইনগত দিক:</w:t>
      </w:r>
    </w:p>
    <w:p>
      <w:pPr>
        <w:pStyle w:val="ListParagraph"/>
        <w:numPr>
          <w:ilvl w:val="0"/>
          <w:numId w:val="1"/>
        </w:numPr>
      </w:pPr>
      <w:r>
        <w:rPr>
          <w:rFonts w:ascii="Kalpurush" w:cs="Kalpurush" w:eastAsia="Kalpurush" w:hAnsi="Kalpurush"/>
          <w:sz w:val="20"/>
          <w:szCs w:val="20"/>
        </w:rPr>
        <w:t xml:space="preserve">১নং বিবাদী মূল রেকর্ডভুক্ত রায়ত আব্দুল আলীর বৈধ ওয়ারিশ;</w:t>
      </w:r>
    </w:p>
    <w:p>
      <w:pPr>
        <w:pStyle w:val="ListParagraph"/>
        <w:numPr>
          <w:ilvl w:val="0"/>
          <w:numId w:val="1"/>
        </w:numPr>
      </w:pPr>
      <w:r>
        <w:rPr>
          <w:rFonts w:ascii="Kalpurush" w:cs="Kalpurush" w:eastAsia="Kalpurush" w:hAnsi="Kalpurush"/>
          <w:sz w:val="20"/>
          <w:szCs w:val="20"/>
        </w:rPr>
        <w:t xml:space="preserve">তিনি পিতার একক স্বত্ব ও বাদীদের সঠিক হিস্যা স্বীকার করিয়া বণ্টনে সম্মতি জ্ঞাপন করিয়াছেন;</w:t>
      </w:r>
    </w:p>
    <w:p>
      <w:pPr>
        <w:pStyle w:val="ListParagraph"/>
        <w:numPr>
          <w:ilvl w:val="0"/>
          <w:numId w:val="1"/>
        </w:numPr>
      </w:pPr>
      <w:r>
        <w:rPr>
          <w:rFonts w:ascii="Kalpurush" w:cs="Kalpurush" w:eastAsia="Kalpurush" w:hAnsi="Kalpurush"/>
          <w:sz w:val="20"/>
          <w:szCs w:val="20"/>
        </w:rPr>
        <w:t xml:space="preserve">বিজ্ঞ ট্রায়াল কোর্ট সহ-শরিকের এই প্রত্যক্ষ স্বীকারোক্তি ও আপস আবেদন সম্পূর্ণ উপেক্ষা করিয়া বিবাদীদের অন্যায় দাবিকে প্রশ্রয় দিয়াছেন।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সিদ্ধান্ত:</w:t>
      </w:r>
      <w:r>
        <w:rPr>
          <w:rFonts w:ascii="Kalpurush" w:cs="Kalpurush" w:eastAsia="Kalpurush" w:hAnsi="Kalpurush"/>
          <w:i/>
          <w:iCs/>
          <w:sz w:val="20"/>
          <w:szCs w:val="20"/>
        </w:rPr>
        <w:t xml:space="preserve"> সহ-শরিক ১নং বিবাদীর এই আচরণ ও সম্মতি বাদীদের দাবির যৌক্তিকতা ও সারবত্তাকে আদালতের নিকট সন্দেহাতীতভাবে প্রমাণ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১৮. বিজ্ঞ ট্রায়াল কোর্টের যুক্তির মৌলিক গলদ: দুর্বল অনুমানের সমষ্টি দ্বারা মূল দলিলের অনুপস্থিতি পূরণ করার অপচেষ্টা</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কোর্টের রায়ের সবচেয়ে ভয়াবহ দুর্বলতা হলো: বিবাদীপক্ষের মামলায় যেখানে—</w:t>
      </w:r>
    </w:p>
    <w:p>
      <w:pPr>
        <w:pStyle w:val="ListParagraph"/>
        <w:numPr>
          <w:ilvl w:val="0"/>
          <w:numId w:val="1"/>
        </w:numPr>
      </w:pPr>
      <w:r>
        <w:rPr>
          <w:rFonts w:ascii="Kalpurush" w:cs="Kalpurush" w:eastAsia="Kalpurush" w:hAnsi="Kalpurush"/>
          <w:sz w:val="20"/>
          <w:szCs w:val="20"/>
        </w:rPr>
        <w:t xml:space="preserve">১৯৩৪ সালের কথিত মূল পত্তনের কোনো অনুমোদিত দলিল নেই;</w:t>
      </w:r>
    </w:p>
    <w:p>
      <w:pPr>
        <w:pStyle w:val="ListParagraph"/>
        <w:numPr>
          <w:ilvl w:val="0"/>
          <w:numId w:val="1"/>
        </w:numPr>
      </w:pPr>
      <w:r>
        <w:rPr>
          <w:rFonts w:ascii="Kalpurush" w:cs="Kalpurush" w:eastAsia="Kalpurush" w:hAnsi="Kalpurush"/>
          <w:sz w:val="20"/>
          <w:szCs w:val="20"/>
        </w:rPr>
        <w:t xml:space="preserve">১৯৬৯ সালের কথিত মিস কেসের কোনো মূল আদেশনামা বা ডিক্রি নেই;</w:t>
      </w:r>
    </w:p>
    <w:p>
      <w:pPr>
        <w:pStyle w:val="ListParagraph"/>
        <w:numPr>
          <w:ilvl w:val="0"/>
          <w:numId w:val="1"/>
        </w:numPr>
      </w:pPr>
      <w:r>
        <w:rPr>
          <w:rFonts w:ascii="Kalpurush" w:cs="Kalpurush" w:eastAsia="Kalpurush" w:hAnsi="Kalpurush"/>
          <w:sz w:val="20"/>
          <w:szCs w:val="20"/>
        </w:rPr>
        <w:t xml:space="preserve">মিস কেসের কোনো রেজিস্ট্রি সহি-মোহরর নকল বা মূল ফাইল নেই;</w:t>
      </w:r>
    </w:p>
    <w:p>
      <w:pPr>
        <w:pStyle w:val="ListParagraph"/>
        <w:numPr>
          <w:ilvl w:val="0"/>
          <w:numId w:val="1"/>
        </w:numPr>
      </w:pPr>
      <w:r>
        <w:rPr>
          <w:rFonts w:ascii="Kalpurush" w:cs="Kalpurush" w:eastAsia="Kalpurush" w:hAnsi="Kalpurush"/>
          <w:sz w:val="20"/>
          <w:szCs w:val="20"/>
        </w:rPr>
        <w:t xml:space="preserve">এসিল্যান্ড অফিসের ভলিউম এন্ট্রির রচয়িতা বা বৈধতা DW-4 প্রমাণ করিতে পারেন নাই;</w:t>
      </w:r>
    </w:p>
    <w:p>
      <w:pPr>
        <w:pStyle w:val="ListParagraph"/>
        <w:numPr>
          <w:ilvl w:val="0"/>
          <w:numId w:val="1"/>
        </w:numPr>
      </w:pPr>
      <w:r>
        <w:rPr>
          <w:rFonts w:ascii="Kalpurush" w:cs="Kalpurush" w:eastAsia="Kalpurush" w:hAnsi="Kalpurush"/>
          <w:sz w:val="20"/>
          <w:szCs w:val="20"/>
        </w:rPr>
        <w:t xml:space="preserve">কথিত এন্ট্রি পারিবারিক উত্তরাধিকারের স্বাভাবিক নিয়মের সহিত সাংঘর্ষিক;</w:t>
      </w:r>
    </w:p>
    <w:p>
      <w:pPr>
        <w:pStyle w:val="ListParagraph"/>
        <w:numPr>
          <w:ilvl w:val="0"/>
          <w:numId w:val="1"/>
        </w:numPr>
      </w:pPr>
      <w:r>
        <w:rPr>
          <w:rFonts w:ascii="Kalpurush" w:cs="Kalpurush" w:eastAsia="Kalpurush" w:hAnsi="Kalpurush"/>
          <w:sz w:val="20"/>
          <w:szCs w:val="20"/>
        </w:rPr>
        <w:t xml:space="preserve">১৯৭৫ সালের নিজেদের ৩৫৯৬ নং রেজিস্ট্রি দলিলের সহিত সরাসরি স্ববিরোধী;</w:t>
      </w:r>
    </w:p>
    <w:p>
      <w:r>
        <w:rPr>
          <w:rFonts w:ascii="Kalpurush" w:cs="Kalpurush" w:eastAsia="Kalpurush" w:hAnsi="Kalpurush"/>
        </w:rPr>
        <w:t xml:space="preserve"/>
      </w:r>
    </w:p>
    <w:p>
      <w:r>
        <w:rPr>
          <w:rFonts w:ascii="Kalpurush" w:cs="Kalpurush" w:eastAsia="Kalpurush" w:hAnsi="Kalpurush"/>
          <w:sz w:val="20"/>
          <w:szCs w:val="20"/>
        </w:rPr>
        <w:t xml:space="preserve">সেখানে এই সমস্ত দুর্বল ও অকার্যকর অনুমানের সমষ্টি দ্বারা একটি অস্তিত্বহীন স্বত্ব খাড়া করার চেষ্টা করা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আইনগত স্বতঃসিদ্ধ নীতি:</w:t>
      </w:r>
      <w:r>
        <w:rPr>
          <w:rFonts w:ascii="Kalpurush" w:cs="Kalpurush" w:eastAsia="Kalpurush" w:hAnsi="Kalpurush"/>
          <w:i/>
          <w:iCs/>
          <w:sz w:val="20"/>
          <w:szCs w:val="20"/>
        </w:rPr>
        <w:t xml:space="preserve"> *"Missing foundational title cannot be supplied by multiplication of weak circumstances or unproved administrative notes."*</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কোর্টের এই অনুমানভিত্তিক reasoning সম্পূর্ণ অন্যায়, অযৌক্তিক এবং বিচারিক নীতির পরিপন্থী।</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১৯. আপিলের ৪টি অমীমাংসিত মৌলিক প্রশ্ন (The Four Decisive Questions)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সামগ্রিক আপীল মোকদ্দমাটিকে নিম্নলিখিত ৪টি সুস্পষ্ট প্রশ্নের নিরিখে চূড়ান্তভাবে নিষ্পত্তি করিতে পারেন: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প্রশ্ন–১:</w:t>
      </w:r>
      <w:r>
        <w:rPr>
          <w:rFonts w:ascii="Kalpurush" w:cs="Kalpurush" w:eastAsia="Kalpurush" w:hAnsi="Kalpurush"/>
          <w:sz w:val="20"/>
          <w:szCs w:val="20"/>
        </w:rPr>
        <w:t xml:space="preserve"> আব্দুল করিমের কথিত ১৯৩৪ সালের মূল পত্তনের কোনো অনুমোদিত সরকারি বা জমিদারি প্রমাণ আদালতে দাখিল হইয়াছে কি?</w:t>
      </w:r>
    </w:p>
    <w:p>
      <w:r>
        <w:rPr>
          <w:rFonts w:ascii="Kalpurush" w:cs="Kalpurush" w:eastAsia="Kalpurush" w:hAnsi="Kalpurush"/>
          <w:sz w:val="20"/>
          <w:szCs w:val="20"/>
        </w:rPr>
        <w:t xml:space="preserve">   * *উত্তর:* </w:t>
      </w:r>
      <w:r>
        <w:rPr>
          <w:rFonts w:ascii="Kalpurush" w:cs="Kalpurush" w:eastAsia="Kalpurush" w:hAnsi="Kalpurush"/>
          <w:b/>
          <w:bCs/>
          <w:sz w:val="20"/>
          <w:szCs w:val="20"/>
        </w:rPr>
        <w:t xml:space="preserve">না, কোনো প্রমাণ দাখিল হয় নাই।</w:t>
      </w:r>
    </w:p>
    <w:p>
      <w:r>
        <w:rPr>
          <w:rFonts w:ascii="Kalpurush" w:cs="Kalpurush" w:eastAsia="Kalpurush" w:hAnsi="Kalpurush"/>
        </w:rPr>
        <w:t xml:space="preserve"/>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প্রশ্ন–২:</w:t>
      </w:r>
      <w:r>
        <w:rPr>
          <w:rFonts w:ascii="Kalpurush" w:cs="Kalpurush" w:eastAsia="Kalpurush" w:hAnsi="Kalpurush"/>
          <w:sz w:val="20"/>
          <w:szCs w:val="20"/>
        </w:rPr>
        <w:t xml:space="preserve"> চূড়ান্তভাবে প্রকাশিত SA ২৩৮ নং খতিয়ানের সংবিধিবদ্ধ presumption আইনসম্মতভাবে খণ্ডন করার মতো কোনো রেজিস্ট্রি দলিল বিবাদীরা দেখাইতে পারিয়াছে কি?</w:t>
      </w:r>
    </w:p>
    <w:p>
      <w:r>
        <w:rPr>
          <w:rFonts w:ascii="Kalpurush" w:cs="Kalpurush" w:eastAsia="Kalpurush" w:hAnsi="Kalpurush"/>
          <w:sz w:val="20"/>
          <w:szCs w:val="20"/>
        </w:rPr>
        <w:t xml:space="preserve">   * *উত্তর:* </w:t>
      </w:r>
      <w:r>
        <w:rPr>
          <w:rFonts w:ascii="Kalpurush" w:cs="Kalpurush" w:eastAsia="Kalpurush" w:hAnsi="Kalpurush"/>
          <w:b/>
          <w:bCs/>
          <w:sz w:val="20"/>
          <w:szCs w:val="20"/>
        </w:rPr>
        <w:t xml:space="preserve">না, পারে নাই।</w:t>
      </w:r>
    </w:p>
    <w:p>
      <w:r>
        <w:rPr>
          <w:rFonts w:ascii="Kalpurush" w:cs="Kalpurush" w:eastAsia="Kalpurush" w:hAnsi="Kalpurush"/>
        </w:rPr>
        <w:t xml:space="preserve"/>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প্রশ্ন–৩:</w:t>
      </w:r>
      <w:r>
        <w:rPr>
          <w:rFonts w:ascii="Kalpurush" w:cs="Kalpurush" w:eastAsia="Kalpurush" w:hAnsi="Kalpurush"/>
          <w:sz w:val="20"/>
          <w:szCs w:val="20"/>
        </w:rPr>
        <w:t xml:space="preserve"> ১৯৬৯ সালের কথিত Misc Case No. 1181-এর কোনো মূল আদেশ, রায়, ডিক্রি বা রেজিস্ট্রি নকল আদালতে প্রমাণিত হইয়াছে কি?</w:t>
      </w:r>
    </w:p>
    <w:p>
      <w:r>
        <w:rPr>
          <w:rFonts w:ascii="Kalpurush" w:cs="Kalpurush" w:eastAsia="Kalpurush" w:hAnsi="Kalpurush"/>
          <w:sz w:val="20"/>
          <w:szCs w:val="20"/>
        </w:rPr>
        <w:t xml:space="preserve">   * *উত্তর:* </w:t>
      </w:r>
      <w:r>
        <w:rPr>
          <w:rFonts w:ascii="Kalpurush" w:cs="Kalpurush" w:eastAsia="Kalpurush" w:hAnsi="Kalpurush"/>
          <w:b/>
          <w:bCs/>
          <w:sz w:val="20"/>
          <w:szCs w:val="20"/>
        </w:rPr>
        <w:t xml:space="preserve">না,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প্রশ্ন–৪:</w:t>
      </w:r>
      <w:r>
        <w:rPr>
          <w:rFonts w:ascii="Kalpurush" w:cs="Kalpurush" w:eastAsia="Kalpurush" w:hAnsi="Kalpurush"/>
          <w:sz w:val="20"/>
          <w:szCs w:val="20"/>
        </w:rPr>
        <w:t xml:space="preserve"> কোনো মূল বিচারিক আদেশ ও নোটিশ ব্যতিরেকে এসিল্যান্ড অফিসের ভলিউমে ভিন্ন কালির একটি এন্ট্রি কি একজন রেকর্ডভুক্ত রায়তের স্বত্ব ধ্বংস করিয়া অন্যকে স্বত্ববান করিতে পারে?</w:t>
      </w:r>
    </w:p>
    <w:p>
      <w:r>
        <w:rPr>
          <w:rFonts w:ascii="Kalpurush" w:cs="Kalpurush" w:eastAsia="Kalpurush" w:hAnsi="Kalpurush"/>
          <w:sz w:val="20"/>
          <w:szCs w:val="20"/>
        </w:rPr>
        <w:t xml:space="preserve">   * *উত্তর:* </w:t>
      </w:r>
      <w:r>
        <w:rPr>
          <w:rFonts w:ascii="Kalpurush" w:cs="Kalpurush" w:eastAsia="Kalpurush" w:hAnsi="Kalpurush"/>
          <w:b/>
          <w:bCs/>
          <w:sz w:val="20"/>
          <w:szCs w:val="20"/>
        </w:rPr>
        <w:t xml:space="preserve">আইনত কখনো পারে না (Void ab initio)।</w:t>
      </w:r>
    </w:p>
    <w:p>
      <w:r>
        <w:rPr>
          <w:rFonts w:ascii="Kalpurush" w:cs="Kalpurush" w:eastAsia="Kalpurush" w:hAnsi="Kalpurush"/>
        </w:rPr>
        <w:t xml:space="preserve"/>
      </w:r>
    </w:p>
    <w:p>
      <w:r>
        <w:rPr>
          <w:rFonts w:ascii="Kalpurush" w:cs="Kalpurush" w:eastAsia="Kalpurush" w:hAnsi="Kalpurush"/>
          <w:sz w:val="20"/>
          <w:szCs w:val="20"/>
        </w:rPr>
        <w:t xml:space="preserve">এই ৪টি প্রশ্নের আইনি উত্তর আপীল্যান্টদের অনুকূলে আসায় SA ২৩৮ খতিয়ানের পূর্ণাঙ্গ আইনগত বলবৎযোগ্যতা প্রতিষ্ঠিত হয়।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২০. অতএব বিজ্ঞ ট্রায়াল কোর্টের রায় ও ডিক্রি বাতিলের যৌক্তিকতা এবং সমাপনী নিবেদন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 মূল বিচার্য বিষয় কে সুন্দর গল্প বানাইতে পারিয়াছে তাহা নহে; বরং—</w:t>
      </w:r>
    </w:p>
    <w:p>
      <w:pPr>
        <w:ind w:left="720"/>
      </w:pPr>
      <w:r>
        <w:rPr>
          <w:rFonts w:ascii="Kalpurush" w:cs="Kalpurush" w:eastAsia="Kalpurush" w:hAnsi="Kalpurush"/>
          <w:b/>
          <w:bCs/>
          <w:i/>
          <w:iCs/>
          <w:sz w:val="20"/>
          <w:szCs w:val="20"/>
        </w:rPr>
        <w:t xml:space="preserve">কোন পক্ষের দাবির পেছনে একটি অবিচ্ছিন্ন, বৈধ এবং সংবিধিবদ্ধ দলিলি প্রমাণ রহিয়াছে?</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আপীল্যান্টদের অকাট্য দলিলি শৃঙ্খলা:</w:t>
      </w:r>
    </w:p>
    <w:p>
      <w:r>
        <w:rPr>
          <w:rFonts w:ascii="Kalpurush" w:cs="Kalpurush" w:eastAsia="Kalpurush" w:hAnsi="Kalpurush"/>
          <w:sz w:val="20"/>
          <w:szCs w:val="20"/>
        </w:rPr>
        <w:t xml:space="preserve">  CS খাস জমি $\rightarrow$ রাষ্ট্রীয় অধিগ্রহণ $\rightarrow$ SA ২৩৮ মূল খতিয়ান (আব্দুল আলী) $\rightarrow$ ১৯৫৭ সালের রেজিস্ট্রি দলিল $\rightarrow$ জেলা রেকর্ড রুমে অবিকৃত মূল সংরক্ষণ $\rightarrow$ ওয়ারিশানদের নিরবচ্ছিন্ন স্বত্ব ও দখল $\rightarrow$ ১নং বিবাদীর সোলেহনামা।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বিবাদীপক্ষের ভগ্ন ও অস্তিত্বহীন শৃঙ্খলা:</w:t>
      </w:r>
    </w:p>
    <w:p>
      <w:r>
        <w:rPr>
          <w:rFonts w:ascii="Kalpurush" w:cs="Kalpurush" w:eastAsia="Kalpurush" w:hAnsi="Kalpurush"/>
          <w:sz w:val="20"/>
          <w:szCs w:val="20"/>
        </w:rPr>
        <w:t xml:space="preserve">  অননুমোদিত অপঞ্জিকৃত পত্তন $\rightarrow$ কথিত মৌখিক উত্তরাধিকার $\rightarrow$ ১৯৬৯ সালের ভূতুড়ে মিস কেস (আদেশবিহীন) $\rightarrow$ এসিল্যান্ড অফিসের ভলিউমে ভিন্ন কালির অনুমোদনহীন ঘষামাজা $\rightarrow$ ১৯৭৫ সালের নিজস্ব দলিলের সহিত স্ববিরোধিতা।</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খতিয়ানের সংবিধিবদ্ধ মর্যাদা এবং আপীল্যান্টদের নিরঙ্কুশ রায়তি স্বত্ব মহামান্য সুপ্রিম কোর্টের সুপ্রতিষ্ঠিত সিদ্ধান্ত দ্বারা সম্পূর্ণ সুরক্ষিত।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অতএব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উপরোক্ত ঘটনা, নথিজাত সাক্ষ্য-প্রমাণ এবং মহামান্য সুপ্রিম কোর্টের নির্দেশিত আইনগত সিদ্ধান্তের আলোকে মহামান্য আদালতের নিকট আপীল্যান্টগণের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ক. বিজ্ঞ সখিপুর সহকারী জজ/সিভিল জজ আদালত কর্তৃক বাটোয়ারা মামলা নং ৬৬/২০১৬-এ প্রদত্ত বিগত ০৫/০৪/২০২৬ ইং তারিখের রায় এবং ০৯/০৪/২০২৬ ইং তারিখের খারিজী ডিক্রি সর্বতোভাবে আইন ও সাক্ষ্যের পরিপন্থী ঘোষণা করত তাহা বাতিল ও Set Aside করা হউক;</w:t>
      </w:r>
    </w:p>
    <w:p>
      <w:r>
        <w:rPr>
          <w:rFonts w:ascii="Kalpurush" w:cs="Kalpurush" w:eastAsia="Kalpurush" w:hAnsi="Kalpurush"/>
        </w:rPr>
        <w:t xml:space="preserve"/>
      </w:r>
    </w:p>
    <w:p>
      <w:r>
        <w:rPr>
          <w:rFonts w:ascii="Kalpurush" w:cs="Kalpurush" w:eastAsia="Kalpurush" w:hAnsi="Kalpurush"/>
          <w:sz w:val="20"/>
          <w:szCs w:val="20"/>
        </w:rPr>
        <w:t xml:space="preserve">খ. নালিশী SA ২৩৮ নং খতিয়ানে আপীল্যান্টদের পূর্বসূরি আব্দুল আলীর ১৬ আনা স্বত্ব ও অংশ আইনানুগভাবে সাব্যস্ত করত আপীল্যান্টগণ ও ১নং বিবাদীর অনুকূলে বাটোয়ারার প্রাথমিক ডিক্রি (Preliminary Decree) প্রদান করা হউক;</w:t>
      </w:r>
    </w:p>
    <w:p>
      <w:r>
        <w:rPr>
          <w:rFonts w:ascii="Kalpurush" w:cs="Kalpurush" w:eastAsia="Kalpurush" w:hAnsi="Kalpurush"/>
        </w:rPr>
        <w:t xml:space="preserve"/>
      </w:r>
    </w:p>
    <w:p>
      <w:r>
        <w:rPr>
          <w:rFonts w:ascii="Kalpurush" w:cs="Kalpurush" w:eastAsia="Kalpurush" w:hAnsi="Kalpurush"/>
          <w:sz w:val="20"/>
          <w:szCs w:val="20"/>
        </w:rPr>
        <w:t xml:space="preserve">গ. একই দাগের অন্তর্ভুক্ত সরকারের ১ নং খাস খতিয়ানভুক্ত জমি বাদ রাখিয়া কেবলমাত্র SA ২৩৮ খতিয়ানভুক্ত নালিশী ব্যক্তিমালিকানাধীন জমিতে বিজ্ঞ এ্যাডভোকেট কমিশনারের মাধ্যমে সরেজমিনে সহ-শরিকদের মধ্যে বাস্তব বণ্টনের নির্দেশ প্রদান করা হউক;</w:t>
      </w:r>
    </w:p>
    <w:p>
      <w:r>
        <w:rPr>
          <w:rFonts w:ascii="Kalpurush" w:cs="Kalpurush" w:eastAsia="Kalpurush" w:hAnsi="Kalpurush"/>
        </w:rPr>
        <w:t xml:space="preserve"/>
      </w:r>
    </w:p>
    <w:p>
      <w:r>
        <w:rPr>
          <w:rFonts w:ascii="Kalpurush" w:cs="Kalpurush" w:eastAsia="Kalpurush" w:hAnsi="Kalpurush"/>
          <w:sz w:val="20"/>
          <w:szCs w:val="20"/>
        </w:rPr>
        <w:t xml:space="preserve">ঘ. বিজ্ঞ নিম্ন আদালত কর্তৃক ভূতুড়ে মিস কেস ও ভলিউমের ভিন্ন কালির এন্ট্রির ওপর ভুল নির্ভরতা বাতিল করত জেলা রেকর্ড রুমের সংবিধিবদ্ধ মূল খতিয়ান বহাল রাখা হউক; এবং</w:t>
      </w:r>
    </w:p>
    <w:p>
      <w:r>
        <w:rPr>
          <w:rFonts w:ascii="Kalpurush" w:cs="Kalpurush" w:eastAsia="Kalpurush" w:hAnsi="Kalpurush"/>
        </w:rPr>
        <w:t xml:space="preserve"/>
      </w:r>
    </w:p>
    <w:p>
      <w:r>
        <w:rPr>
          <w:rFonts w:ascii="Kalpurush" w:cs="Kalpurush" w:eastAsia="Kalpurush" w:hAnsi="Kalpurush"/>
          <w:sz w:val="20"/>
          <w:szCs w:val="20"/>
        </w:rPr>
        <w:t xml:space="preserve">ঙ. সার্বিক ন্যায়বিচারের স্বার্থে অত্র আপীলটি খরচাসহ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বিনীত নিবেদন সমাপ্ত।</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2026-08-28T08:50:30.376Z</dcterms:created>
  <dcterms:modified xsi:type="dcterms:W3CDTF">2026-08-28T08:50:30.383Z</dcterms:modified>
</cp:coreProperties>
</file>

<file path=docProps/custom.xml><?xml version="1.0" encoding="utf-8"?>
<Properties xmlns="http://schemas.openxmlformats.org/officeDocument/2006/custom-properties" xmlns:vt="http://schemas.openxmlformats.org/officeDocument/2006/docPropsVTypes"/>
</file>